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C6" w:rsidRPr="00717AC6" w:rsidRDefault="00F146FA" w:rsidP="00B97A55">
      <w:pPr>
        <w:spacing w:after="0" w:line="240" w:lineRule="atLeast"/>
        <w:rPr>
          <w:rFonts w:ascii="Times New Roman" w:eastAsia="Calibri" w:hAnsi="Times New Roman" w:cs="Times New Roman"/>
          <w:b/>
          <w:sz w:val="24"/>
          <w:szCs w:val="24"/>
          <w:u w:val="single"/>
        </w:rPr>
      </w:pPr>
      <w:bookmarkStart w:id="0" w:name="_GoBack"/>
      <w:bookmarkEnd w:id="0"/>
      <w:r w:rsidRPr="00F146FA">
        <w:rPr>
          <w:rFonts w:ascii="Times New Roman" w:eastAsia="Calibri" w:hAnsi="Times New Roman" w:cs="Times New Roman"/>
          <w:sz w:val="24"/>
          <w:szCs w:val="24"/>
          <w:u w:val="single"/>
        </w:rPr>
        <w:t>Bandırma Onyedi Eylül Üniversitesinden:</w:t>
      </w:r>
      <w:r w:rsidR="00717AC6" w:rsidRPr="00717AC6">
        <w:rPr>
          <w:rFonts w:ascii="Times New Roman" w:eastAsia="Calibri" w:hAnsi="Times New Roman" w:cs="Times New Roman"/>
          <w:sz w:val="24"/>
          <w:szCs w:val="24"/>
          <w:u w:val="single"/>
        </w:rPr>
        <w:t xml:space="preserve"> </w:t>
      </w:r>
    </w:p>
    <w:p w:rsidR="00F146FA" w:rsidRPr="00F146FA" w:rsidRDefault="00F146FA" w:rsidP="00B97A55">
      <w:pPr>
        <w:tabs>
          <w:tab w:val="left" w:pos="284"/>
        </w:tabs>
        <w:spacing w:after="0" w:line="240" w:lineRule="atLeast"/>
        <w:ind w:firstLine="709"/>
        <w:rPr>
          <w:rFonts w:ascii="Times New Roman" w:eastAsia="Calibri" w:hAnsi="Times New Roman" w:cs="Times New Roman"/>
          <w:b/>
          <w:sz w:val="24"/>
          <w:szCs w:val="24"/>
          <w:u w:val="single"/>
        </w:rPr>
      </w:pPr>
    </w:p>
    <w:p w:rsidR="00F146FA" w:rsidRPr="00F146FA" w:rsidRDefault="00F146FA" w:rsidP="00B97A55">
      <w:pPr>
        <w:tabs>
          <w:tab w:val="left" w:pos="284"/>
        </w:tabs>
        <w:spacing w:after="0" w:line="240" w:lineRule="atLeast"/>
        <w:ind w:firstLine="709"/>
        <w:jc w:val="center"/>
        <w:rPr>
          <w:rFonts w:ascii="Times New Roman" w:eastAsia="Calibri" w:hAnsi="Times New Roman" w:cs="Times New Roman"/>
          <w:b/>
          <w:sz w:val="24"/>
          <w:szCs w:val="24"/>
        </w:rPr>
      </w:pPr>
    </w:p>
    <w:p w:rsidR="00F146FA" w:rsidRPr="00F146FA" w:rsidRDefault="00F146FA" w:rsidP="00B97A55">
      <w:pPr>
        <w:tabs>
          <w:tab w:val="left" w:pos="284"/>
        </w:tabs>
        <w:spacing w:after="0" w:line="240" w:lineRule="atLeast"/>
        <w:ind w:firstLine="709"/>
        <w:jc w:val="center"/>
        <w:rPr>
          <w:rFonts w:ascii="Times New Roman" w:eastAsia="Calibri" w:hAnsi="Times New Roman" w:cs="Times New Roman"/>
          <w:b/>
          <w:sz w:val="24"/>
          <w:szCs w:val="24"/>
        </w:rPr>
      </w:pPr>
      <w:r w:rsidRPr="00F146FA">
        <w:rPr>
          <w:rFonts w:ascii="Times New Roman" w:eastAsia="Calibri" w:hAnsi="Times New Roman" w:cs="Times New Roman"/>
          <w:b/>
          <w:sz w:val="24"/>
          <w:szCs w:val="24"/>
        </w:rPr>
        <w:t>BANDIRMA ONYEDİ EYLÜL ÜNİVERSİTESİ LİSANSÜSTÜ EĞİTİM VE ÖĞRETİM YÖNETMELİĞİNDE DEĞİŞİKLİK YAPILMASINA DAİR YÖNETMELİK</w:t>
      </w:r>
      <w:r w:rsidR="006F28A7">
        <w:rPr>
          <w:rFonts w:ascii="Times New Roman" w:eastAsia="Calibri" w:hAnsi="Times New Roman" w:cs="Times New Roman"/>
          <w:b/>
          <w:sz w:val="24"/>
          <w:szCs w:val="24"/>
        </w:rPr>
        <w:t xml:space="preserve"> </w:t>
      </w:r>
    </w:p>
    <w:p w:rsidR="00F146FA" w:rsidRPr="00F146FA" w:rsidRDefault="00F146FA" w:rsidP="00B97A55">
      <w:pPr>
        <w:tabs>
          <w:tab w:val="left" w:pos="284"/>
        </w:tabs>
        <w:spacing w:after="0" w:line="240" w:lineRule="atLeast"/>
        <w:jc w:val="both"/>
        <w:rPr>
          <w:rFonts w:ascii="Times New Roman" w:eastAsia="Calibri" w:hAnsi="Times New Roman" w:cs="Times New Roman"/>
          <w:sz w:val="24"/>
          <w:szCs w:val="24"/>
        </w:rPr>
      </w:pP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MADDE 1</w:t>
      </w:r>
      <w:r w:rsidRPr="00F146FA">
        <w:rPr>
          <w:rFonts w:ascii="Times New Roman" w:eastAsia="Calibri" w:hAnsi="Times New Roman" w:cs="Times New Roman"/>
          <w:sz w:val="24"/>
          <w:szCs w:val="24"/>
        </w:rPr>
        <w:t xml:space="preserve"> – (1) 27/9/2016 tarihli ve 29840 sayılı Resmi Gazete’de yayımlanan Bandırma Onyedi Eylül Üniversitesi Lisansüstü Eğitim ve Öğretim Yönetmeliğinin 5 inci maddesinin 5 inci fıkrası aşağıdaki şekilde değiştirilmiştir.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“(5) Lisansüstü öğrenci kontenjanları, genel ve yurtdışı kontenjanlar olmak üzere ikiye ayrılır. Genel kontenjanlar, kabul koşullarını sağlayan Türk ve yabancı uyruklu adaylara; yurtdışı kontenjanları ise kabul koşullarını sağlayan yabancı uyruklu veya lisans eğitiminin tamamını yurt dışında tamamlayan Türkiye Cumhuriyeti vatandaşı veya yurt dışında ikamet eden Türk uyruklu adaylara açıktır. Ayrıca her iki kontenjan türü için yatay geçiş kontenjanı da ayrılabilir.”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2 </w:t>
      </w:r>
      <w:r w:rsidRPr="00F146FA">
        <w:rPr>
          <w:rFonts w:ascii="Times New Roman" w:eastAsia="Calibri" w:hAnsi="Times New Roman" w:cs="Times New Roman"/>
          <w:sz w:val="24"/>
          <w:szCs w:val="24"/>
        </w:rPr>
        <w:t>– Aynı Yönetmeliğin 8 inci maddesinin üçüncü fıkrası aşağıdaki şekilde değiştirilmiştir.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 xml:space="preserve">“(3) Tezli yüksek lisans programlarına giriş notunun belirlenmesinde; ALES veya eşdeğeri sınav puanının, anasanat dalları programlarında ise sanatta yetenek sınavı puanının %50’si, lisans not ortalamasının %20’si, </w:t>
      </w:r>
      <w:r w:rsidRPr="00F146FA">
        <w:rPr>
          <w:rFonts w:ascii="Times New Roman" w:eastAsia="Times New Roman" w:hAnsi="Times New Roman" w:cs="Times New Roman"/>
          <w:sz w:val="24"/>
          <w:szCs w:val="18"/>
          <w:lang w:eastAsia="tr-TR"/>
        </w:rPr>
        <w:t>mülakat ve/veya yazılı sınav sonucunun %20’si</w:t>
      </w:r>
      <w:r w:rsidRPr="00F146FA">
        <w:rPr>
          <w:rFonts w:ascii="Times New Roman" w:eastAsia="Calibri" w:hAnsi="Times New Roman" w:cs="Times New Roman"/>
          <w:sz w:val="36"/>
          <w:szCs w:val="24"/>
        </w:rPr>
        <w:t xml:space="preserve"> </w:t>
      </w:r>
      <w:r w:rsidRPr="00F146FA">
        <w:rPr>
          <w:rFonts w:ascii="Times New Roman" w:eastAsia="Calibri" w:hAnsi="Times New Roman" w:cs="Times New Roman"/>
          <w:sz w:val="24"/>
          <w:szCs w:val="24"/>
        </w:rPr>
        <w:t>ve yabancı dil puanının %10’u toplanır. Başvuru koşullarında yabancı dil şartı aranmasa dahi yukarıda belirtilen oranlar sınava giren adayların hepsine uygulanır. Yabancı dil puanı olmayan adayların yabancı dil puanları ve sınava katkısı sıfır olarak kabul edilir. Küsuratlı notlarda virgülden itibaren üç haneden sonrası yuvarlanır.”</w:t>
      </w:r>
    </w:p>
    <w:p w:rsidR="00F146FA" w:rsidRPr="00F146FA" w:rsidRDefault="00F146FA" w:rsidP="00BA20EB">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3 </w:t>
      </w:r>
      <w:r w:rsidRPr="00F146FA">
        <w:rPr>
          <w:rFonts w:ascii="Times New Roman" w:eastAsia="Calibri" w:hAnsi="Times New Roman" w:cs="Times New Roman"/>
          <w:sz w:val="24"/>
          <w:szCs w:val="24"/>
        </w:rPr>
        <w:t xml:space="preserve">– Aynı Yönetmeliğin 9 uncu maddesinin </w:t>
      </w:r>
      <w:r w:rsidR="00BA20EB">
        <w:rPr>
          <w:rFonts w:ascii="Times New Roman" w:eastAsia="Calibri" w:hAnsi="Times New Roman" w:cs="Times New Roman"/>
          <w:sz w:val="24"/>
          <w:szCs w:val="24"/>
        </w:rPr>
        <w:t>ikinci</w:t>
      </w:r>
      <w:r w:rsidRPr="00F146FA">
        <w:rPr>
          <w:rFonts w:ascii="Times New Roman" w:eastAsia="Calibri" w:hAnsi="Times New Roman" w:cs="Times New Roman"/>
          <w:sz w:val="24"/>
          <w:szCs w:val="24"/>
        </w:rPr>
        <w:t xml:space="preserve"> fıkrası aşağıdaki şekilde değiştirilmiştir.</w:t>
      </w:r>
    </w:p>
    <w:p w:rsidR="00F146FA" w:rsidRPr="00F146FA" w:rsidRDefault="00F146FA" w:rsidP="00B97A55">
      <w:pPr>
        <w:spacing w:after="0" w:line="276" w:lineRule="auto"/>
        <w:ind w:firstLine="708"/>
        <w:jc w:val="both"/>
        <w:rPr>
          <w:rFonts w:ascii="Times New Roman" w:eastAsia="Calibri" w:hAnsi="Times New Roman" w:cs="Times New Roman"/>
          <w:color w:val="000000"/>
          <w:sz w:val="24"/>
          <w:szCs w:val="24"/>
        </w:rPr>
      </w:pPr>
      <w:r w:rsidRPr="00F146FA">
        <w:rPr>
          <w:rFonts w:ascii="Times New Roman" w:eastAsia="Calibri" w:hAnsi="Times New Roman" w:cs="Times New Roman"/>
          <w:sz w:val="24"/>
          <w:szCs w:val="24"/>
        </w:rPr>
        <w:t xml:space="preserve">“(2) </w:t>
      </w:r>
      <w:r w:rsidRPr="00F146FA">
        <w:rPr>
          <w:rFonts w:ascii="Times New Roman" w:eastAsia="Times New Roman" w:hAnsi="Times New Roman" w:cs="Times New Roman"/>
          <w:color w:val="000000"/>
          <w:sz w:val="24"/>
          <w:szCs w:val="24"/>
          <w:lang w:eastAsia="tr-TR"/>
        </w:rPr>
        <w:t>Senato tarafından aksi kararlaştırılmadıkça ALES veya eşdeğeri bir sınav ve yabancı dil şartı aranmaz.</w:t>
      </w:r>
      <w:r w:rsidRPr="00F146FA">
        <w:rPr>
          <w:rFonts w:ascii="Times New Roman" w:eastAsia="Calibri" w:hAnsi="Times New Roman" w:cs="Times New Roman"/>
          <w:color w:val="000000"/>
          <w:sz w:val="24"/>
          <w:szCs w:val="24"/>
        </w:rPr>
        <w:t xml:space="preserve"> Tezsiz yüksek lisans programlarına giriş notunun belirlenmesinde, ALES puanı istenilmesi halinde ALES veya eşdeğeri sınav puanının %50’si, lisans not ortalamasının %50’si; ALES puanı istenilmemesi halinde lisans not ortalamasının tamamı alınır. </w:t>
      </w:r>
      <w:r w:rsidRPr="00F146FA">
        <w:rPr>
          <w:rFonts w:ascii="Times New Roman" w:eastAsia="Calibri" w:hAnsi="Times New Roman" w:cs="Times New Roman"/>
          <w:sz w:val="24"/>
          <w:szCs w:val="24"/>
        </w:rPr>
        <w:t>Küsuratlı notlarda virgülden itibaren üç haneden sonrası yuvarlanır.”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4 </w:t>
      </w:r>
      <w:r w:rsidRPr="00F146FA">
        <w:rPr>
          <w:rFonts w:ascii="Times New Roman" w:eastAsia="Calibri" w:hAnsi="Times New Roman" w:cs="Times New Roman"/>
          <w:sz w:val="24"/>
          <w:szCs w:val="24"/>
        </w:rPr>
        <w:t xml:space="preserve">–  Aynı Yönetmeliğin 10 uncu maddesinin </w:t>
      </w:r>
      <w:r w:rsidR="00BA20EB">
        <w:rPr>
          <w:rFonts w:ascii="Times New Roman" w:eastAsia="Calibri" w:hAnsi="Times New Roman" w:cs="Times New Roman"/>
          <w:sz w:val="24"/>
          <w:szCs w:val="24"/>
        </w:rPr>
        <w:t xml:space="preserve">ikinci </w:t>
      </w:r>
      <w:r w:rsidRPr="00F146FA">
        <w:rPr>
          <w:rFonts w:ascii="Times New Roman" w:eastAsia="Calibri" w:hAnsi="Times New Roman" w:cs="Times New Roman"/>
          <w:sz w:val="24"/>
          <w:szCs w:val="24"/>
        </w:rPr>
        <w:t>fıkrası aşağıdaki şekilde değiştirilmiştir.</w:t>
      </w:r>
      <w:r w:rsidRPr="00F146FA">
        <w:rPr>
          <w:rFonts w:ascii="Times New Roman" w:eastAsia="Calibri" w:hAnsi="Times New Roman" w:cs="Times New Roman"/>
          <w:b/>
          <w:sz w:val="24"/>
          <w:szCs w:val="24"/>
        </w:rPr>
        <w:t xml:space="preserve">      </w:t>
      </w:r>
    </w:p>
    <w:p w:rsidR="00F146FA" w:rsidRPr="00F146FA" w:rsidRDefault="00BA20EB"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 xml:space="preserve"> </w:t>
      </w:r>
      <w:r w:rsidR="00F146FA" w:rsidRPr="00F146FA">
        <w:rPr>
          <w:rFonts w:ascii="Times New Roman" w:eastAsia="Calibri" w:hAnsi="Times New Roman" w:cs="Times New Roman"/>
          <w:sz w:val="24"/>
          <w:szCs w:val="24"/>
        </w:rPr>
        <w:t>“(2) Doktora programlarına giriş notunun belirlenmesinde, ALES veya eşdeğeri sınav puanının veya temel tıp puanının %50’si, lisans not ortalamasının %10’u, yüksek lisans not ortalamasının %10’u,</w:t>
      </w:r>
      <w:r w:rsidR="00F146FA" w:rsidRPr="00F146FA">
        <w:rPr>
          <w:rFonts w:ascii="Times New Roman" w:eastAsia="Times New Roman" w:hAnsi="Times New Roman" w:cs="Times New Roman"/>
          <w:sz w:val="24"/>
          <w:szCs w:val="24"/>
          <w:lang w:eastAsia="tr-TR"/>
        </w:rPr>
        <w:t xml:space="preserve"> mülakat ve/veya yazılı sınav </w:t>
      </w:r>
      <w:r w:rsidR="00F146FA" w:rsidRPr="00F146FA">
        <w:rPr>
          <w:rFonts w:ascii="Times New Roman" w:eastAsia="Calibri" w:hAnsi="Times New Roman" w:cs="Times New Roman"/>
          <w:sz w:val="24"/>
          <w:szCs w:val="24"/>
        </w:rPr>
        <w:t>puanının %20’si ve yabancı dil puanının %10’u toplanır. Lisans derecesi ile kabul edilen programlarda ise ALES veya eşdeğeri sınav puanının veya temel tıp puanının %50’si, lisans not ortalamasının %20’si,</w:t>
      </w:r>
      <w:r w:rsidR="00F146FA" w:rsidRPr="00F146FA">
        <w:rPr>
          <w:rFonts w:ascii="Times New Roman" w:eastAsia="Times New Roman" w:hAnsi="Times New Roman" w:cs="Times New Roman"/>
          <w:sz w:val="24"/>
          <w:szCs w:val="24"/>
          <w:lang w:eastAsia="tr-TR"/>
        </w:rPr>
        <w:t xml:space="preserve"> mülakat ve/veya yazılı sınav</w:t>
      </w:r>
      <w:r w:rsidR="00F146FA" w:rsidRPr="00F146FA">
        <w:rPr>
          <w:rFonts w:ascii="Times New Roman" w:eastAsia="Calibri" w:hAnsi="Times New Roman" w:cs="Times New Roman"/>
          <w:sz w:val="24"/>
          <w:szCs w:val="24"/>
        </w:rPr>
        <w:t xml:space="preserve"> puanının %20’si ve yabancı dil puanının %10’u toplanır. Küsuratlı notlarda virgülden itibaren üç haneden sonrası yuvarlanır.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5 </w:t>
      </w:r>
      <w:r w:rsidRPr="00F146FA">
        <w:rPr>
          <w:rFonts w:ascii="Times New Roman" w:eastAsia="Calibri" w:hAnsi="Times New Roman" w:cs="Times New Roman"/>
          <w:sz w:val="24"/>
          <w:szCs w:val="24"/>
        </w:rPr>
        <w:t>–  Aynı Yönetmeliğin 12 nci maddesinin birinci fıkrasının (a) bendi ile aynı fıkranın (ç) ve (d) bentleri aşağıdaki şekilde değiştirilmiştir.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“a) Adayların, yabancı uyruklu veya lisans eğitiminin tamamını yurt dışında tamamlayan Türkiye Cumhuriyeti vatandaşı veya yurt dışında ikamet eden Türk uyruklu olması gerekir. Diploma denklikleri, YÖK denklik esaslarına uygun olarak kabul edilir.”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lastRenderedPageBreak/>
        <w:t xml:space="preserve">“ç) Eğitim ve öğretimin kısmen veya tamamen yabancı dille yapıldığı programlara başvurularda, programa genel kontenjandan öğrenci kabulü için </w:t>
      </w:r>
      <w:r w:rsidRPr="00F146FA">
        <w:rPr>
          <w:rFonts w:ascii="Times New Roman" w:eastAsia="Times New Roman" w:hAnsi="Times New Roman" w:cs="Times New Roman"/>
          <w:sz w:val="24"/>
          <w:szCs w:val="24"/>
          <w:lang w:eastAsia="tr-TR"/>
        </w:rPr>
        <w:t>anadilleri dışında</w:t>
      </w:r>
      <w:r w:rsidRPr="00F146FA">
        <w:rPr>
          <w:rFonts w:ascii="Times New Roman" w:eastAsia="Times New Roman" w:hAnsi="Times New Roman" w:cs="Times New Roman"/>
          <w:sz w:val="18"/>
          <w:szCs w:val="18"/>
          <w:lang w:eastAsia="tr-TR"/>
        </w:rPr>
        <w:t xml:space="preserve"> </w:t>
      </w:r>
      <w:r w:rsidRPr="00F146FA">
        <w:rPr>
          <w:rFonts w:ascii="Times New Roman" w:eastAsia="Calibri" w:hAnsi="Times New Roman" w:cs="Times New Roman"/>
          <w:sz w:val="24"/>
          <w:szCs w:val="24"/>
        </w:rPr>
        <w:t>YDS veya eşdeğeri sınavdan Senatoca belirlenen yabancı dil puanını almış olmaları gerekir.”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“d) Eğitim ve öğretimin kısmen veya tamamen yabancı dille yapıldığı lisansüstü programlar hariç diğer lisansüstü programlar için, adayların</w:t>
      </w:r>
      <w:r w:rsidRPr="00F146FA">
        <w:rPr>
          <w:rFonts w:ascii="Times New Roman" w:eastAsia="Times New Roman" w:hAnsi="Times New Roman" w:cs="Times New Roman"/>
          <w:sz w:val="18"/>
          <w:szCs w:val="18"/>
          <w:lang w:eastAsia="tr-TR"/>
        </w:rPr>
        <w:t xml:space="preserve"> </w:t>
      </w:r>
      <w:r w:rsidRPr="00F146FA">
        <w:rPr>
          <w:rFonts w:ascii="Times New Roman" w:eastAsia="Times New Roman" w:hAnsi="Times New Roman" w:cs="Times New Roman"/>
          <w:sz w:val="24"/>
          <w:szCs w:val="24"/>
          <w:lang w:eastAsia="tr-TR"/>
        </w:rPr>
        <w:t>anadilleri dışında</w:t>
      </w:r>
      <w:r w:rsidRPr="00F146FA">
        <w:rPr>
          <w:rFonts w:ascii="Times New Roman" w:eastAsia="Calibri" w:hAnsi="Times New Roman" w:cs="Times New Roman"/>
          <w:sz w:val="24"/>
          <w:szCs w:val="24"/>
        </w:rPr>
        <w:t xml:space="preserve"> YDS veya eşdeğeri sınavdan 55 veya karşılığından az olmamak üzere Senatoca belirlenen yabancı dil notunu almış olmaları gerekir.”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6 </w:t>
      </w:r>
      <w:r w:rsidRPr="00F146FA">
        <w:rPr>
          <w:rFonts w:ascii="Times New Roman" w:eastAsia="Calibri" w:hAnsi="Times New Roman" w:cs="Times New Roman"/>
          <w:sz w:val="24"/>
          <w:szCs w:val="24"/>
        </w:rPr>
        <w:t>–  Aynı Yönetmeliğin 13 üncü maddesinin dördüncü fıkrası aşağıdaki şekilde değiştirilmiştir.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 xml:space="preserve"> “(4) Yatay geçiş yoluyla öğrenci kabul notunun belirlenmesinde, 100 üzerinden, ALES veya eşdeğeri sınav puanının %50’si, anasanat dalları programlarında sanatta yetenek sınavı puanının %50’si, yabancı dil puanının %20’i ve yatay geçiş</w:t>
      </w:r>
      <w:r w:rsidR="00C12F2F">
        <w:rPr>
          <w:rFonts w:ascii="Times New Roman" w:eastAsia="Calibri" w:hAnsi="Times New Roman" w:cs="Times New Roman"/>
          <w:sz w:val="24"/>
          <w:szCs w:val="24"/>
        </w:rPr>
        <w:t xml:space="preserve"> mülakat ve/veya</w:t>
      </w:r>
      <w:r w:rsidRPr="00F146FA">
        <w:rPr>
          <w:rFonts w:ascii="Times New Roman" w:eastAsia="Calibri" w:hAnsi="Times New Roman" w:cs="Times New Roman"/>
          <w:sz w:val="24"/>
          <w:szCs w:val="24"/>
        </w:rPr>
        <w:t xml:space="preserve"> yazılı sınav notunun %30’u toplanır. Küsuratlı notlarda virgülden itibaren üç haneden sonrası yuvarlanır. Yazılı sınav, anabilim/anasanat/bilim/sanat dalı/program başkanlığınca önerilen ve ilgili enstitü yönetim kurulu kararıyla üç öğretim üyesinden oluşan bir jüri tarafından yapılır.”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7 </w:t>
      </w:r>
      <w:r w:rsidRPr="00F146FA">
        <w:rPr>
          <w:rFonts w:ascii="Times New Roman" w:eastAsia="Calibri" w:hAnsi="Times New Roman" w:cs="Times New Roman"/>
          <w:sz w:val="24"/>
          <w:szCs w:val="24"/>
        </w:rPr>
        <w:t>–  Aynı Yönetmeliğin 15 inci maddesine aşağıdaki fıkra eklenmiştir.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 xml:space="preserve">“(3) Özel öğrenci kabul koşulları, ilgili enstitü yönetim kurulu kararı ile belirlenir.”       </w:t>
      </w:r>
    </w:p>
    <w:p w:rsid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8 </w:t>
      </w:r>
      <w:r w:rsidRPr="00F146FA">
        <w:rPr>
          <w:rFonts w:ascii="Times New Roman" w:eastAsia="Calibri" w:hAnsi="Times New Roman" w:cs="Times New Roman"/>
          <w:sz w:val="24"/>
          <w:szCs w:val="24"/>
        </w:rPr>
        <w:t xml:space="preserve">–  </w:t>
      </w:r>
      <w:r>
        <w:rPr>
          <w:rFonts w:ascii="Times New Roman" w:eastAsia="Calibri" w:hAnsi="Times New Roman" w:cs="Times New Roman"/>
          <w:sz w:val="24"/>
          <w:szCs w:val="24"/>
        </w:rPr>
        <w:t>Aynı Yönetmeliğin 23</w:t>
      </w:r>
      <w:r w:rsidRPr="00F146FA">
        <w:rPr>
          <w:rFonts w:ascii="Times New Roman" w:eastAsia="Calibri" w:hAnsi="Times New Roman" w:cs="Times New Roman"/>
          <w:sz w:val="24"/>
          <w:szCs w:val="24"/>
        </w:rPr>
        <w:t xml:space="preserve"> üncü maddesinin </w:t>
      </w:r>
      <w:r w:rsidR="00D82D11">
        <w:rPr>
          <w:rFonts w:ascii="Times New Roman" w:eastAsia="Calibri" w:hAnsi="Times New Roman" w:cs="Times New Roman"/>
          <w:sz w:val="24"/>
          <w:szCs w:val="24"/>
        </w:rPr>
        <w:t xml:space="preserve">dördüncü ve </w:t>
      </w:r>
      <w:r>
        <w:rPr>
          <w:rFonts w:ascii="Times New Roman" w:eastAsia="Calibri" w:hAnsi="Times New Roman" w:cs="Times New Roman"/>
          <w:sz w:val="24"/>
          <w:szCs w:val="24"/>
        </w:rPr>
        <w:t>beşinci</w:t>
      </w:r>
      <w:r w:rsidR="00D82D11">
        <w:rPr>
          <w:rFonts w:ascii="Times New Roman" w:eastAsia="Calibri" w:hAnsi="Times New Roman" w:cs="Times New Roman"/>
          <w:sz w:val="24"/>
          <w:szCs w:val="24"/>
        </w:rPr>
        <w:t xml:space="preserve"> fıkraları </w:t>
      </w:r>
      <w:r w:rsidRPr="00F146FA">
        <w:rPr>
          <w:rFonts w:ascii="Times New Roman" w:eastAsia="Calibri" w:hAnsi="Times New Roman" w:cs="Times New Roman"/>
          <w:sz w:val="24"/>
          <w:szCs w:val="24"/>
        </w:rPr>
        <w:t xml:space="preserve">aşağıdaki şekilde değiştirilmiştir. </w:t>
      </w:r>
    </w:p>
    <w:p w:rsidR="00D82D11" w:rsidRPr="00D82D11" w:rsidRDefault="00D82D11" w:rsidP="00B97A55">
      <w:pPr>
        <w:tabs>
          <w:tab w:val="left" w:pos="284"/>
        </w:tabs>
        <w:spacing w:after="0" w:line="240" w:lineRule="atLeast"/>
        <w:ind w:firstLine="709"/>
        <w:jc w:val="both"/>
        <w:rPr>
          <w:rFonts w:ascii="Times New Roman" w:eastAsia="Calibri" w:hAnsi="Times New Roman" w:cs="Times New Roman"/>
          <w:sz w:val="24"/>
          <w:szCs w:val="24"/>
        </w:rPr>
      </w:pPr>
      <w:r w:rsidRPr="00D82D11">
        <w:rPr>
          <w:rFonts w:ascii="Times New Roman" w:eastAsia="Calibri" w:hAnsi="Times New Roman" w:cs="Times New Roman"/>
          <w:sz w:val="24"/>
          <w:szCs w:val="24"/>
        </w:rPr>
        <w:t xml:space="preserve">“(4) </w:t>
      </w:r>
      <w:r w:rsidRPr="00D82D11">
        <w:rPr>
          <w:rFonts w:ascii="Times New Roman" w:eastAsia="Times New Roman" w:hAnsi="Times New Roman" w:cs="Times New Roman"/>
          <w:sz w:val="24"/>
          <w:szCs w:val="24"/>
          <w:lang w:eastAsia="tr-TR" w:bidi="tr-TR"/>
        </w:rPr>
        <w:t>Diş hekimliği, eczacılı</w:t>
      </w:r>
      <w:r>
        <w:rPr>
          <w:rFonts w:ascii="Times New Roman" w:eastAsia="Times New Roman" w:hAnsi="Times New Roman" w:cs="Times New Roman"/>
          <w:sz w:val="24"/>
          <w:szCs w:val="24"/>
          <w:lang w:eastAsia="tr-TR" w:bidi="tr-TR"/>
        </w:rPr>
        <w:t xml:space="preserve">k, tıp ve veteriner fakülteleri </w:t>
      </w:r>
      <w:r w:rsidRPr="00D82D11">
        <w:rPr>
          <w:rFonts w:ascii="Times New Roman" w:eastAsia="Times New Roman" w:hAnsi="Times New Roman" w:cs="Times New Roman"/>
          <w:sz w:val="24"/>
          <w:szCs w:val="24"/>
          <w:lang w:eastAsia="tr-TR" w:bidi="tr-TR"/>
        </w:rPr>
        <w:t>anabilim dalları hariç</w:t>
      </w:r>
      <w:r w:rsidR="00FD12B6">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D82D11">
        <w:rPr>
          <w:rFonts w:ascii="Times New Roman" w:eastAsia="Calibri" w:hAnsi="Times New Roman" w:cs="Times New Roman"/>
          <w:sz w:val="24"/>
          <w:szCs w:val="24"/>
        </w:rPr>
        <w:t>oktora/sanatta yeterlik programında tez danışmanı, en az dört yarıyıl süreyle bir lisans programında veya iki yarıyıl süreyle yüksek lisans programında ders vermiş ve başarıyla tamamlanmış en az bir yüksek lisans tezi yönetmiş olan ve Üniversite kadrosunda bulunan öğretim üyeleri arasından atanır.</w:t>
      </w:r>
      <w:r>
        <w:rPr>
          <w:rFonts w:ascii="Times New Roman" w:eastAsia="Calibri" w:hAnsi="Times New Roman" w:cs="Times New Roman"/>
          <w:sz w:val="24"/>
          <w:szCs w:val="24"/>
        </w:rPr>
        <w:t>”</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146FA">
        <w:rPr>
          <w:rFonts w:ascii="Times New Roman" w:eastAsia="Calibri" w:hAnsi="Times New Roman" w:cs="Times New Roman"/>
          <w:sz w:val="24"/>
          <w:szCs w:val="24"/>
        </w:rPr>
        <w:t xml:space="preserve">(5) Tez çalışmasının niteliğinin ikinci bir danışmanı gerektirdiği durumlarda, ilgili enstitü yönetim kurulu kararıyla ikinci danışman atanabilir. İkinci danışman ataması; öğrencinin amaç, yöntem ve çalışma planını kapsayan tez önerisinin enstitü yönetim kurulunda kabulünden sonra, ikinci danışmanın tez çalışmasındaki görevi belirtilmek suretiyle danışmanın talebi, anabilim/anasanat/bilim/sanat dalı/program başkanlığının önerisi ve ilgili enstitü yönetim kurulu kararıyla gerçekleştirilir. </w:t>
      </w:r>
      <w:r w:rsidRPr="00F146FA">
        <w:rPr>
          <w:rFonts w:ascii="Times New Roman" w:eastAsia="Calibri" w:hAnsi="Times New Roman" w:cs="Times New Roman"/>
          <w:color w:val="000000" w:themeColor="text1"/>
          <w:sz w:val="24"/>
          <w:szCs w:val="24"/>
        </w:rPr>
        <w:t>İkinci tez danışmanı, Üniversite kadrosu dışından da en az doktora/sanatta yeterlik derecesine sahip kişilerden olabilir</w:t>
      </w:r>
      <w:r w:rsidRPr="00F146FA">
        <w:rPr>
          <w:rFonts w:ascii="Times New Roman" w:eastAsia="Calibri" w:hAnsi="Times New Roman" w:cs="Times New Roman"/>
          <w:color w:val="FF0000"/>
          <w:sz w:val="24"/>
          <w:szCs w:val="24"/>
        </w:rPr>
        <w:t xml:space="preserve">. </w:t>
      </w:r>
      <w:r w:rsidRPr="00F146FA">
        <w:rPr>
          <w:rFonts w:ascii="Times New Roman" w:eastAsia="Calibri" w:hAnsi="Times New Roman" w:cs="Times New Roman"/>
          <w:sz w:val="24"/>
          <w:szCs w:val="24"/>
        </w:rPr>
        <w:t>İkinci danışman, atanmasını gerektiren konularda görev yaparak danışmanı bilgilendirir.</w:t>
      </w:r>
      <w:r>
        <w:rPr>
          <w:rFonts w:ascii="Times New Roman" w:eastAsia="Calibri" w:hAnsi="Times New Roman" w:cs="Times New Roman"/>
          <w:sz w:val="24"/>
          <w:szCs w:val="24"/>
        </w:rPr>
        <w:t>”</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b/>
          <w:sz w:val="24"/>
          <w:szCs w:val="24"/>
        </w:rPr>
        <w:t xml:space="preserve">MADDE 9 </w:t>
      </w:r>
      <w:r w:rsidRPr="00F146FA">
        <w:rPr>
          <w:rFonts w:ascii="Times New Roman" w:eastAsia="Calibri" w:hAnsi="Times New Roman" w:cs="Times New Roman"/>
          <w:sz w:val="24"/>
          <w:szCs w:val="24"/>
        </w:rPr>
        <w:t xml:space="preserve">–  Aynı Yönetmeliğin 24 üncü maddesinin ikinci fıkrası aşağıdaki şekilde değiştirilmiştir. </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sidRPr="00F146FA">
        <w:rPr>
          <w:rFonts w:ascii="Times New Roman" w:eastAsia="Calibri" w:hAnsi="Times New Roman" w:cs="Times New Roman"/>
          <w:sz w:val="24"/>
          <w:szCs w:val="24"/>
        </w:rPr>
        <w:t xml:space="preserve">“(2) Seminer, dönem projesi ve tez çalışması kredisiz olup AKTS olarak kredilendirilir. AKTS kredileri; seminer için 6, tezsiz yüksek lisans dönem projesi için </w:t>
      </w:r>
      <w:r w:rsidR="009C2625">
        <w:rPr>
          <w:rFonts w:ascii="Times New Roman" w:eastAsia="Calibri" w:hAnsi="Times New Roman" w:cs="Times New Roman"/>
          <w:color w:val="000000"/>
          <w:sz w:val="24"/>
          <w:szCs w:val="24"/>
        </w:rPr>
        <w:t>15</w:t>
      </w:r>
      <w:r w:rsidRPr="00F146FA">
        <w:rPr>
          <w:rFonts w:ascii="Times New Roman" w:eastAsia="Calibri" w:hAnsi="Times New Roman" w:cs="Times New Roman"/>
          <w:color w:val="000000"/>
          <w:sz w:val="24"/>
          <w:szCs w:val="24"/>
        </w:rPr>
        <w:t>,</w:t>
      </w:r>
      <w:r w:rsidRPr="00F146FA">
        <w:rPr>
          <w:rFonts w:ascii="Times New Roman" w:eastAsia="Calibri" w:hAnsi="Times New Roman" w:cs="Times New Roman"/>
          <w:sz w:val="24"/>
          <w:szCs w:val="24"/>
        </w:rPr>
        <w:t xml:space="preserve"> uzmanlık alan dersi dâhil olmak üzere tezle ilgili faaliyetler ile birlikte yüksek lisans tezi için toplam 60 ve doktora/sanatta yeterlik tezi için ise toplam 120 AKTS’dir.”</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10</w:t>
      </w:r>
      <w:r w:rsidRPr="00F146FA">
        <w:rPr>
          <w:rFonts w:ascii="Times New Roman" w:eastAsia="Calibri" w:hAnsi="Times New Roman" w:cs="Times New Roman"/>
          <w:b/>
          <w:sz w:val="24"/>
          <w:szCs w:val="24"/>
        </w:rPr>
        <w:t xml:space="preserve"> </w:t>
      </w:r>
      <w:r w:rsidRPr="00F146FA">
        <w:rPr>
          <w:rFonts w:ascii="Times New Roman" w:eastAsia="Calibri" w:hAnsi="Times New Roman" w:cs="Times New Roman"/>
          <w:sz w:val="24"/>
          <w:szCs w:val="24"/>
        </w:rPr>
        <w:t>–  Aynı Yönetmeliğin 36 ncı maddesine aşağıdaki fıkra eklenmiştir.</w:t>
      </w:r>
    </w:p>
    <w:p w:rsidR="00F146FA" w:rsidRDefault="00F146FA" w:rsidP="00B97A55">
      <w:pPr>
        <w:tabs>
          <w:tab w:val="left" w:pos="284"/>
        </w:tabs>
        <w:spacing w:after="0" w:line="240" w:lineRule="atLeast"/>
        <w:ind w:firstLine="709"/>
        <w:jc w:val="both"/>
        <w:rPr>
          <w:rFonts w:ascii="Times New Roman" w:eastAsia="Calibri" w:hAnsi="Times New Roman" w:cs="Times New Roman"/>
          <w:b/>
          <w:sz w:val="24"/>
          <w:szCs w:val="24"/>
        </w:rPr>
      </w:pPr>
      <w:r w:rsidRPr="00F146FA">
        <w:rPr>
          <w:rFonts w:ascii="Times New Roman" w:eastAsia="Calibri" w:hAnsi="Times New Roman" w:cs="Times New Roman"/>
          <w:sz w:val="24"/>
          <w:szCs w:val="24"/>
        </w:rPr>
        <w:t xml:space="preserve">“(10) </w:t>
      </w:r>
      <w:r w:rsidRPr="00F146FA">
        <w:rPr>
          <w:rFonts w:ascii="Times New Roman" w:eastAsia="Times New Roman" w:hAnsi="Times New Roman" w:cs="Times New Roman"/>
          <w:sz w:val="24"/>
          <w:szCs w:val="24"/>
          <w:lang w:eastAsia="tr-TR"/>
        </w:rPr>
        <w:t>Senato tarafından belirlenen yüksek lisans yayın ve/veya proje koşullarını sağlaması</w:t>
      </w:r>
      <w:r w:rsidRPr="00F146FA">
        <w:rPr>
          <w:rFonts w:ascii="Times New Roman" w:eastAsia="Calibri" w:hAnsi="Times New Roman" w:cs="Times New Roman"/>
          <w:sz w:val="24"/>
          <w:szCs w:val="24"/>
        </w:rPr>
        <w:t xml:space="preserve"> gerekir.”</w:t>
      </w:r>
      <w:r w:rsidRPr="00F146FA">
        <w:rPr>
          <w:rFonts w:ascii="Times New Roman" w:eastAsia="Calibri" w:hAnsi="Times New Roman" w:cs="Times New Roman"/>
          <w:b/>
          <w:sz w:val="24"/>
          <w:szCs w:val="24"/>
        </w:rPr>
        <w:t xml:space="preserve"> </w:t>
      </w: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11</w:t>
      </w:r>
      <w:r w:rsidRPr="00F146FA">
        <w:rPr>
          <w:rFonts w:ascii="Times New Roman" w:eastAsia="Calibri" w:hAnsi="Times New Roman" w:cs="Times New Roman"/>
          <w:b/>
          <w:sz w:val="24"/>
          <w:szCs w:val="24"/>
        </w:rPr>
        <w:t xml:space="preserve"> </w:t>
      </w:r>
      <w:r w:rsidRPr="00F146FA">
        <w:rPr>
          <w:rFonts w:ascii="Times New Roman" w:eastAsia="Calibri" w:hAnsi="Times New Roman" w:cs="Times New Roman"/>
          <w:sz w:val="24"/>
          <w:szCs w:val="24"/>
        </w:rPr>
        <w:t xml:space="preserve">–  Aynı Yönetmeliğin </w:t>
      </w:r>
      <w:r>
        <w:rPr>
          <w:rFonts w:ascii="Times New Roman" w:eastAsia="Calibri" w:hAnsi="Times New Roman" w:cs="Times New Roman"/>
          <w:sz w:val="24"/>
          <w:szCs w:val="24"/>
        </w:rPr>
        <w:t xml:space="preserve">37 nci maddesinin </w:t>
      </w:r>
      <w:r w:rsidRPr="00F146FA">
        <w:rPr>
          <w:rFonts w:ascii="Times New Roman" w:eastAsia="Calibri" w:hAnsi="Times New Roman" w:cs="Times New Roman"/>
          <w:sz w:val="24"/>
          <w:szCs w:val="24"/>
        </w:rPr>
        <w:t xml:space="preserve">ikinci fıkrası aşağıdaki şekilde değiştirilmiştir. </w:t>
      </w:r>
    </w:p>
    <w:p w:rsidR="00F146FA" w:rsidRPr="00F146FA"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F146FA" w:rsidRPr="00F146FA">
        <w:rPr>
          <w:rFonts w:ascii="Times New Roman" w:hAnsi="Times New Roman" w:cs="Times New Roman"/>
          <w:sz w:val="24"/>
          <w:szCs w:val="24"/>
        </w:rPr>
        <w:t xml:space="preserve">Mezuniyet tarihi, </w:t>
      </w:r>
      <w:r w:rsidR="00F146FA" w:rsidRPr="00F146FA">
        <w:rPr>
          <w:rFonts w:ascii="Times New Roman" w:eastAsia="Times New Roman" w:hAnsi="Times New Roman" w:cs="Times New Roman"/>
          <w:sz w:val="24"/>
          <w:szCs w:val="24"/>
          <w:lang w:eastAsia="tr-TR" w:bidi="tr-TR"/>
        </w:rPr>
        <w:t xml:space="preserve"> tezin sınav jüri komisyonu tarafından imzalı nüshas</w:t>
      </w:r>
      <w:r w:rsidR="00F146FA">
        <w:rPr>
          <w:rFonts w:ascii="Times New Roman" w:eastAsia="Times New Roman" w:hAnsi="Times New Roman" w:cs="Times New Roman"/>
          <w:sz w:val="24"/>
          <w:szCs w:val="24"/>
          <w:lang w:eastAsia="tr-TR" w:bidi="tr-TR"/>
        </w:rPr>
        <w:t>ının teslim edildiği tarihtir.”</w:t>
      </w:r>
    </w:p>
    <w:p w:rsidR="00F146FA" w:rsidRDefault="00F146FA"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12</w:t>
      </w:r>
      <w:r w:rsidRPr="00F146FA">
        <w:rPr>
          <w:rFonts w:ascii="Times New Roman" w:eastAsia="Calibri" w:hAnsi="Times New Roman" w:cs="Times New Roman"/>
          <w:b/>
          <w:sz w:val="24"/>
          <w:szCs w:val="24"/>
        </w:rPr>
        <w:t xml:space="preserve"> </w:t>
      </w:r>
      <w:r w:rsidRPr="00F146FA">
        <w:rPr>
          <w:rFonts w:ascii="Times New Roman" w:eastAsia="Calibri" w:hAnsi="Times New Roman" w:cs="Times New Roman"/>
          <w:sz w:val="24"/>
          <w:szCs w:val="24"/>
        </w:rPr>
        <w:t>–</w:t>
      </w:r>
      <w:r w:rsidR="00F5714F">
        <w:rPr>
          <w:rFonts w:ascii="Times New Roman" w:eastAsia="Calibri" w:hAnsi="Times New Roman" w:cs="Times New Roman"/>
          <w:sz w:val="24"/>
          <w:szCs w:val="24"/>
        </w:rPr>
        <w:t xml:space="preserve"> </w:t>
      </w:r>
      <w:r w:rsidRPr="00F146FA">
        <w:rPr>
          <w:rFonts w:ascii="Times New Roman" w:eastAsia="Calibri" w:hAnsi="Times New Roman" w:cs="Times New Roman"/>
          <w:sz w:val="24"/>
          <w:szCs w:val="24"/>
        </w:rPr>
        <w:t xml:space="preserve">Aynı Yönetmeliğin </w:t>
      </w:r>
      <w:r>
        <w:rPr>
          <w:rFonts w:ascii="Times New Roman" w:eastAsia="Calibri" w:hAnsi="Times New Roman" w:cs="Times New Roman"/>
          <w:sz w:val="24"/>
          <w:szCs w:val="24"/>
        </w:rPr>
        <w:t xml:space="preserve">38 inci maddesinin </w:t>
      </w:r>
      <w:r w:rsidRPr="00F146FA">
        <w:rPr>
          <w:rFonts w:ascii="Times New Roman" w:eastAsia="Calibri" w:hAnsi="Times New Roman" w:cs="Times New Roman"/>
          <w:sz w:val="24"/>
          <w:szCs w:val="24"/>
        </w:rPr>
        <w:t>ikinci fıkrası aşağıdaki şekilde değiştirilmiştir.</w:t>
      </w:r>
    </w:p>
    <w:p w:rsidR="00F146FA" w:rsidRDefault="00F5714F" w:rsidP="00B97A55">
      <w:pPr>
        <w:tabs>
          <w:tab w:val="left" w:pos="284"/>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146FA" w:rsidRPr="00F5714F">
        <w:rPr>
          <w:rFonts w:ascii="Times New Roman" w:hAnsi="Times New Roman" w:cs="Times New Roman"/>
          <w:sz w:val="24"/>
          <w:szCs w:val="24"/>
        </w:rPr>
        <w:t xml:space="preserve">Tezsiz yüksek lisans programı toplam otuz krediden ve </w:t>
      </w:r>
      <w:r w:rsidR="0086438D">
        <w:rPr>
          <w:rFonts w:ascii="Times New Roman" w:eastAsia="Times New Roman" w:hAnsi="Times New Roman" w:cs="Times New Roman"/>
          <w:sz w:val="24"/>
          <w:szCs w:val="24"/>
          <w:lang w:eastAsia="tr-TR" w:bidi="tr-TR"/>
        </w:rPr>
        <w:t>60</w:t>
      </w:r>
      <w:r w:rsidR="00F146FA" w:rsidRPr="00F5714F">
        <w:rPr>
          <w:rFonts w:ascii="Times New Roman" w:eastAsia="Times New Roman" w:hAnsi="Times New Roman" w:cs="Times New Roman"/>
          <w:sz w:val="18"/>
          <w:lang w:eastAsia="tr-TR" w:bidi="tr-TR"/>
        </w:rPr>
        <w:t xml:space="preserve"> </w:t>
      </w:r>
      <w:r w:rsidR="00F146FA" w:rsidRPr="00F5714F">
        <w:rPr>
          <w:rFonts w:ascii="Times New Roman" w:hAnsi="Times New Roman" w:cs="Times New Roman"/>
          <w:sz w:val="24"/>
          <w:szCs w:val="24"/>
        </w:rPr>
        <w:t>AKTS’den az olmamak kaydıyla en az on ders ile dönem projesi dersinden oluşur</w:t>
      </w:r>
      <w:r>
        <w:rPr>
          <w:rFonts w:ascii="Times New Roman" w:hAnsi="Times New Roman" w:cs="Times New Roman"/>
          <w:sz w:val="24"/>
          <w:szCs w:val="24"/>
        </w:rPr>
        <w:t>.”</w:t>
      </w:r>
    </w:p>
    <w:p w:rsidR="00F5714F"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13</w:t>
      </w:r>
      <w:r w:rsidRPr="00F146FA">
        <w:rPr>
          <w:rFonts w:ascii="Times New Roman" w:eastAsia="Calibri" w:hAnsi="Times New Roman" w:cs="Times New Roman"/>
          <w:b/>
          <w:sz w:val="24"/>
          <w:szCs w:val="24"/>
        </w:rPr>
        <w:t xml:space="preserve"> </w:t>
      </w:r>
      <w:r w:rsidRPr="00F146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146FA">
        <w:rPr>
          <w:rFonts w:ascii="Times New Roman" w:eastAsia="Calibri" w:hAnsi="Times New Roman" w:cs="Times New Roman"/>
          <w:sz w:val="24"/>
          <w:szCs w:val="24"/>
        </w:rPr>
        <w:t xml:space="preserve">Aynı Yönetmeliğin </w:t>
      </w:r>
      <w:r>
        <w:rPr>
          <w:rFonts w:ascii="Times New Roman" w:eastAsia="Calibri" w:hAnsi="Times New Roman" w:cs="Times New Roman"/>
          <w:sz w:val="24"/>
          <w:szCs w:val="24"/>
        </w:rPr>
        <w:t>41 inci maddesinin birinci</w:t>
      </w:r>
      <w:r w:rsidRPr="00F146FA">
        <w:rPr>
          <w:rFonts w:ascii="Times New Roman" w:eastAsia="Calibri" w:hAnsi="Times New Roman" w:cs="Times New Roman"/>
          <w:sz w:val="24"/>
          <w:szCs w:val="24"/>
        </w:rPr>
        <w:t xml:space="preserve"> fıkrası aşağıdaki şekilde değiştirilmiştir.</w:t>
      </w:r>
    </w:p>
    <w:p w:rsidR="00F5714F" w:rsidRDefault="00F5714F" w:rsidP="00B97A55">
      <w:pPr>
        <w:tabs>
          <w:tab w:val="left" w:pos="284"/>
        </w:tabs>
        <w:spacing w:after="0" w:line="240" w:lineRule="atLeast"/>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w:t>
      </w:r>
      <w:r w:rsidRPr="00F5714F">
        <w:rPr>
          <w:rFonts w:ascii="Times New Roman" w:eastAsia="Calibri" w:hAnsi="Times New Roman" w:cs="Times New Roman"/>
          <w:sz w:val="24"/>
          <w:szCs w:val="24"/>
        </w:rPr>
        <w:t xml:space="preserve">(1) </w:t>
      </w:r>
      <w:r w:rsidRPr="00F5714F">
        <w:rPr>
          <w:rFonts w:ascii="Times New Roman" w:eastAsia="Calibri" w:hAnsi="Times New Roman" w:cs="Times New Roman"/>
          <w:color w:val="000000" w:themeColor="text1"/>
          <w:sz w:val="24"/>
          <w:szCs w:val="24"/>
        </w:rPr>
        <w:t xml:space="preserve">Tezsiz yüksek lisans programı toplam otuz krediden ve </w:t>
      </w:r>
      <w:r w:rsidR="0086438D">
        <w:rPr>
          <w:rFonts w:ascii="Times New Roman" w:eastAsia="Times New Roman" w:hAnsi="Times New Roman" w:cs="Times New Roman"/>
          <w:color w:val="000000" w:themeColor="text1"/>
          <w:sz w:val="24"/>
          <w:szCs w:val="24"/>
          <w:lang w:eastAsia="tr-TR" w:bidi="tr-TR"/>
        </w:rPr>
        <w:t>60</w:t>
      </w:r>
      <w:r w:rsidRPr="00F5714F">
        <w:rPr>
          <w:rFonts w:ascii="Times New Roman" w:eastAsia="Times New Roman" w:hAnsi="Times New Roman" w:cs="Times New Roman"/>
          <w:color w:val="000000" w:themeColor="text1"/>
          <w:sz w:val="18"/>
          <w:lang w:eastAsia="tr-TR" w:bidi="tr-TR"/>
        </w:rPr>
        <w:t xml:space="preserve"> </w:t>
      </w:r>
      <w:r w:rsidRPr="00F5714F">
        <w:rPr>
          <w:rFonts w:ascii="Times New Roman" w:eastAsia="Calibri" w:hAnsi="Times New Roman" w:cs="Times New Roman"/>
          <w:color w:val="000000" w:themeColor="text1"/>
          <w:sz w:val="24"/>
          <w:szCs w:val="24"/>
        </w:rPr>
        <w:t>AKTS’den az olmamak kaydıyla en az on ders ile dönem projesi dersinden oluşur. Dönem projesi dersi kredisizdir.</w:t>
      </w:r>
      <w:r>
        <w:rPr>
          <w:rFonts w:ascii="Times New Roman" w:eastAsia="Calibri" w:hAnsi="Times New Roman" w:cs="Times New Roman"/>
          <w:color w:val="000000" w:themeColor="text1"/>
          <w:sz w:val="24"/>
          <w:szCs w:val="24"/>
        </w:rPr>
        <w:t>”</w:t>
      </w:r>
    </w:p>
    <w:p w:rsidR="00F5714F" w:rsidRPr="00F5714F"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r w:rsidRPr="00F5714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b/>
          <w:sz w:val="24"/>
          <w:szCs w:val="24"/>
        </w:rPr>
        <w:t>MADDE 14</w:t>
      </w:r>
      <w:r w:rsidRPr="00F5714F">
        <w:rPr>
          <w:rFonts w:ascii="Times New Roman" w:eastAsia="Calibri" w:hAnsi="Times New Roman" w:cs="Times New Roman"/>
          <w:b/>
          <w:sz w:val="24"/>
          <w:szCs w:val="24"/>
        </w:rPr>
        <w:t xml:space="preserve"> </w:t>
      </w:r>
      <w:r w:rsidRPr="00F5714F">
        <w:rPr>
          <w:rFonts w:ascii="Times New Roman" w:eastAsia="Calibri" w:hAnsi="Times New Roman" w:cs="Times New Roman"/>
          <w:sz w:val="24"/>
          <w:szCs w:val="24"/>
        </w:rPr>
        <w:t>–  Aynı Yönetmeliğin 48 inci maddesine aşağıdaki fıkra eklenmiştir.</w:t>
      </w:r>
    </w:p>
    <w:p w:rsidR="00F5714F" w:rsidRDefault="00F5714F" w:rsidP="00B97A55">
      <w:pPr>
        <w:tabs>
          <w:tab w:val="left" w:pos="284"/>
        </w:tabs>
        <w:spacing w:after="0" w:line="240" w:lineRule="atLeast"/>
        <w:ind w:firstLine="709"/>
        <w:jc w:val="both"/>
        <w:rPr>
          <w:rFonts w:ascii="Times New Roman" w:eastAsia="Times New Roman" w:hAnsi="Times New Roman" w:cs="Times New Roman"/>
          <w:sz w:val="24"/>
          <w:szCs w:val="24"/>
          <w:lang w:eastAsia="tr-TR"/>
        </w:rPr>
      </w:pPr>
      <w:r w:rsidRPr="00F5714F">
        <w:rPr>
          <w:rFonts w:ascii="Times New Roman" w:eastAsia="Calibri" w:hAnsi="Times New Roman" w:cs="Times New Roman"/>
          <w:sz w:val="24"/>
          <w:szCs w:val="24"/>
        </w:rPr>
        <w:t xml:space="preserve">“(6) </w:t>
      </w:r>
      <w:r w:rsidRPr="00F5714F">
        <w:rPr>
          <w:rFonts w:ascii="Times New Roman" w:eastAsia="Times New Roman" w:hAnsi="Times New Roman" w:cs="Times New Roman"/>
          <w:sz w:val="24"/>
          <w:szCs w:val="24"/>
          <w:lang w:eastAsia="tr-TR"/>
        </w:rPr>
        <w:t>Derslerini başarı ile tamamlayan öğrencilerin yeterlik sınavları Mart-Nisan ve Ekim-Kasım aylarında olmak üzere yılda iki kez yapılır.”</w:t>
      </w:r>
    </w:p>
    <w:p w:rsidR="00F5714F" w:rsidRPr="00F5714F"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15</w:t>
      </w:r>
      <w:r w:rsidRPr="00F5714F">
        <w:rPr>
          <w:rFonts w:ascii="Times New Roman" w:eastAsia="Calibri" w:hAnsi="Times New Roman" w:cs="Times New Roman"/>
          <w:b/>
          <w:sz w:val="24"/>
          <w:szCs w:val="24"/>
        </w:rPr>
        <w:t xml:space="preserve"> </w:t>
      </w:r>
      <w:r w:rsidRPr="00F5714F">
        <w:rPr>
          <w:rFonts w:ascii="Times New Roman" w:eastAsia="Calibri" w:hAnsi="Times New Roman" w:cs="Times New Roman"/>
          <w:sz w:val="24"/>
          <w:szCs w:val="24"/>
        </w:rPr>
        <w:t xml:space="preserve">–  Aynı Yönetmeliğin 50 nci maddesine aşağıdaki fıkra eklenmiştir.         </w:t>
      </w:r>
    </w:p>
    <w:p w:rsidR="00F5714F" w:rsidRPr="00F5714F" w:rsidRDefault="00F5714F" w:rsidP="00B97A55">
      <w:pPr>
        <w:tabs>
          <w:tab w:val="left" w:pos="284"/>
        </w:tabs>
        <w:spacing w:after="0" w:line="240" w:lineRule="atLeast"/>
        <w:jc w:val="both"/>
        <w:rPr>
          <w:rFonts w:ascii="Times New Roman" w:eastAsia="Times New Roman" w:hAnsi="Times New Roman" w:cs="Times New Roman"/>
          <w:b/>
          <w:sz w:val="24"/>
          <w:szCs w:val="24"/>
          <w:lang w:eastAsia="tr-TR"/>
        </w:rPr>
      </w:pPr>
      <w:r w:rsidRPr="00F5714F">
        <w:rPr>
          <w:rFonts w:ascii="Times New Roman" w:eastAsia="Calibri" w:hAnsi="Times New Roman" w:cs="Times New Roman"/>
          <w:sz w:val="24"/>
          <w:szCs w:val="24"/>
        </w:rPr>
        <w:tab/>
      </w:r>
      <w:r w:rsidRPr="00F5714F">
        <w:rPr>
          <w:rFonts w:ascii="Times New Roman" w:eastAsia="Calibri" w:hAnsi="Times New Roman" w:cs="Times New Roman"/>
          <w:sz w:val="24"/>
          <w:szCs w:val="24"/>
        </w:rPr>
        <w:tab/>
        <w:t xml:space="preserve">“(8) </w:t>
      </w:r>
      <w:r w:rsidRPr="00F5714F">
        <w:rPr>
          <w:rFonts w:ascii="Times New Roman" w:eastAsia="Times New Roman" w:hAnsi="Times New Roman" w:cs="Times New Roman"/>
          <w:sz w:val="24"/>
          <w:szCs w:val="24"/>
          <w:lang w:eastAsia="tr-TR"/>
        </w:rPr>
        <w:t>Senato tarafından belirlenen doktora yayın ve/veya proje koşullarını sağlaması gerekir.”</w:t>
      </w:r>
    </w:p>
    <w:p w:rsidR="00F5714F"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16</w:t>
      </w:r>
      <w:r w:rsidRPr="00F146FA">
        <w:rPr>
          <w:rFonts w:ascii="Times New Roman" w:eastAsia="Calibri" w:hAnsi="Times New Roman" w:cs="Times New Roman"/>
          <w:b/>
          <w:sz w:val="24"/>
          <w:szCs w:val="24"/>
        </w:rPr>
        <w:t xml:space="preserve"> </w:t>
      </w:r>
      <w:r w:rsidRPr="00F146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146FA">
        <w:rPr>
          <w:rFonts w:ascii="Times New Roman" w:eastAsia="Calibri" w:hAnsi="Times New Roman" w:cs="Times New Roman"/>
          <w:sz w:val="24"/>
          <w:szCs w:val="24"/>
        </w:rPr>
        <w:t xml:space="preserve">Aynı Yönetmeliğin </w:t>
      </w:r>
      <w:r>
        <w:rPr>
          <w:rFonts w:ascii="Times New Roman" w:eastAsia="Calibri" w:hAnsi="Times New Roman" w:cs="Times New Roman"/>
          <w:sz w:val="24"/>
          <w:szCs w:val="24"/>
        </w:rPr>
        <w:t>51 inci maddesinin birinci</w:t>
      </w:r>
      <w:r w:rsidRPr="00F146FA">
        <w:rPr>
          <w:rFonts w:ascii="Times New Roman" w:eastAsia="Calibri" w:hAnsi="Times New Roman" w:cs="Times New Roman"/>
          <w:sz w:val="24"/>
          <w:szCs w:val="24"/>
        </w:rPr>
        <w:t xml:space="preserve"> fıkrası aşağıdaki şekilde değiştirilmiştir.</w:t>
      </w:r>
    </w:p>
    <w:p w:rsidR="00F5714F"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5714F">
        <w:rPr>
          <w:rFonts w:ascii="Times New Roman" w:eastAsia="Calibri" w:hAnsi="Times New Roman" w:cs="Times New Roman"/>
          <w:sz w:val="24"/>
          <w:szCs w:val="24"/>
        </w:rPr>
        <w:t xml:space="preserve">(1) Bu Yönetmelikte doktora programı için belirlenen bütün koşulları başarıyla sağlayan ve ilgili enstitüce istenen diğer işlemleri de yerine getiren öğrenciye, üzerinde öğrencinin kayıtlı olduğu anabilim dalındaki programın onaylanmış adı bulunan doktora diploması verilir. </w:t>
      </w:r>
      <w:r w:rsidRPr="00F5714F">
        <w:rPr>
          <w:rFonts w:ascii="Times New Roman" w:eastAsia="Calibri" w:hAnsi="Times New Roman" w:cs="Times New Roman"/>
          <w:color w:val="000000" w:themeColor="text1"/>
          <w:sz w:val="24"/>
          <w:szCs w:val="24"/>
        </w:rPr>
        <w:t xml:space="preserve">Mezuniyet tarihi, tezin </w:t>
      </w:r>
      <w:r w:rsidRPr="00F5714F">
        <w:rPr>
          <w:rFonts w:ascii="Times New Roman" w:eastAsia="Times New Roman" w:hAnsi="Times New Roman" w:cs="Times New Roman"/>
          <w:color w:val="000000" w:themeColor="text1"/>
          <w:sz w:val="24"/>
          <w:szCs w:val="24"/>
          <w:lang w:eastAsia="tr-TR" w:bidi="tr-TR"/>
        </w:rPr>
        <w:t>sınav jüri komisyonu tarafından imzalı nüshasının teslim edildiği tarihtir.”</w:t>
      </w:r>
    </w:p>
    <w:p w:rsidR="00F5714F" w:rsidRDefault="006F28A7"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17</w:t>
      </w:r>
      <w:r w:rsidRPr="00F146FA">
        <w:rPr>
          <w:rFonts w:ascii="Times New Roman" w:eastAsia="Calibri" w:hAnsi="Times New Roman" w:cs="Times New Roman"/>
          <w:b/>
          <w:sz w:val="24"/>
          <w:szCs w:val="24"/>
        </w:rPr>
        <w:t xml:space="preserve"> </w:t>
      </w:r>
      <w:r w:rsidRPr="00F146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146FA">
        <w:rPr>
          <w:rFonts w:ascii="Times New Roman" w:eastAsia="Calibri" w:hAnsi="Times New Roman" w:cs="Times New Roman"/>
          <w:sz w:val="24"/>
          <w:szCs w:val="24"/>
        </w:rPr>
        <w:t xml:space="preserve">Aynı Yönetmeliğin </w:t>
      </w:r>
      <w:r>
        <w:rPr>
          <w:rFonts w:ascii="Times New Roman" w:eastAsia="Calibri" w:hAnsi="Times New Roman" w:cs="Times New Roman"/>
          <w:sz w:val="24"/>
          <w:szCs w:val="24"/>
        </w:rPr>
        <w:t>58 inci maddesinin birinci</w:t>
      </w:r>
      <w:r w:rsidRPr="00F146FA">
        <w:rPr>
          <w:rFonts w:ascii="Times New Roman" w:eastAsia="Calibri" w:hAnsi="Times New Roman" w:cs="Times New Roman"/>
          <w:sz w:val="24"/>
          <w:szCs w:val="24"/>
        </w:rPr>
        <w:t xml:space="preserve"> fıkrası aşağıdaki şekilde değiştirilmiştir</w:t>
      </w:r>
      <w:r>
        <w:rPr>
          <w:rFonts w:ascii="Times New Roman" w:eastAsia="Calibri" w:hAnsi="Times New Roman" w:cs="Times New Roman"/>
          <w:sz w:val="24"/>
          <w:szCs w:val="24"/>
        </w:rPr>
        <w:t>.</w:t>
      </w:r>
    </w:p>
    <w:p w:rsidR="006F28A7" w:rsidRPr="00F5714F" w:rsidRDefault="006F28A7" w:rsidP="00B97A55">
      <w:pPr>
        <w:tabs>
          <w:tab w:val="left" w:pos="284"/>
        </w:tabs>
        <w:spacing w:after="0" w:line="240" w:lineRule="atLeast"/>
        <w:ind w:firstLine="709"/>
        <w:jc w:val="both"/>
        <w:rPr>
          <w:rFonts w:ascii="Times New Roman" w:eastAsia="Calibri" w:hAnsi="Times New Roman" w:cs="Times New Roman"/>
          <w:color w:val="000000" w:themeColor="text1"/>
          <w:sz w:val="24"/>
          <w:szCs w:val="24"/>
        </w:rPr>
      </w:pPr>
      <w:r w:rsidRPr="006F28A7">
        <w:rPr>
          <w:rFonts w:ascii="Times New Roman" w:eastAsia="Calibri" w:hAnsi="Times New Roman" w:cs="Times New Roman"/>
          <w:color w:val="000000" w:themeColor="text1"/>
          <w:sz w:val="24"/>
          <w:szCs w:val="24"/>
        </w:rPr>
        <w:t xml:space="preserve">“(1) Bu Yönetmelikte sanatta yeterlik programı için belirlenen bütün koşulları başarıyla sağlayan ve ilgili enstitüce istenen diğer işlemleri de yerine getiren öğrenciye, üzerinde öğrencinin kayıtlı olduğu anasanat dalındaki programın onaylanmış adı bulunan sanatta yeterlik diploması verilir. Mezuniyet tarihi, </w:t>
      </w:r>
      <w:r w:rsidRPr="006F28A7">
        <w:rPr>
          <w:rFonts w:ascii="Times New Roman" w:eastAsia="Times New Roman" w:hAnsi="Times New Roman" w:cs="Times New Roman"/>
          <w:color w:val="000000" w:themeColor="text1"/>
          <w:sz w:val="24"/>
          <w:szCs w:val="24"/>
          <w:lang w:eastAsia="tr-TR" w:bidi="tr-TR"/>
        </w:rPr>
        <w:t>tezin sınav jüri komisyonu tarafından imzalı nüshasının teslim edildiği tarihtir.”</w:t>
      </w:r>
    </w:p>
    <w:p w:rsidR="006F28A7" w:rsidRPr="006F28A7" w:rsidRDefault="006F28A7" w:rsidP="00B97A55">
      <w:pPr>
        <w:tabs>
          <w:tab w:val="left" w:pos="284"/>
        </w:tabs>
        <w:spacing w:after="0" w:line="240" w:lineRule="atLeast"/>
        <w:jc w:val="both"/>
        <w:rPr>
          <w:rFonts w:ascii="Times New Roman" w:eastAsia="Times New Roman" w:hAnsi="Times New Roman" w:cs="Times New Roman"/>
          <w:b/>
          <w:sz w:val="24"/>
          <w:szCs w:val="24"/>
          <w:lang w:eastAsia="tr-TR"/>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t>MADDE 18</w:t>
      </w:r>
      <w:r w:rsidRPr="006F28A7">
        <w:rPr>
          <w:rFonts w:ascii="Times New Roman" w:eastAsia="Calibri" w:hAnsi="Times New Roman" w:cs="Times New Roman"/>
          <w:b/>
          <w:sz w:val="24"/>
          <w:szCs w:val="24"/>
        </w:rPr>
        <w:t xml:space="preserve"> </w:t>
      </w:r>
      <w:r w:rsidRPr="006F28A7">
        <w:rPr>
          <w:rFonts w:ascii="Times New Roman" w:eastAsia="Calibri" w:hAnsi="Times New Roman" w:cs="Times New Roman"/>
          <w:sz w:val="24"/>
          <w:szCs w:val="24"/>
        </w:rPr>
        <w:t xml:space="preserve">–  Aynı Yönetmeliğe 60 ncı maddeden sonra gelmek üzere aşağıdaki 60/A maddesi eklenmiştir. </w:t>
      </w:r>
    </w:p>
    <w:p w:rsidR="006F28A7" w:rsidRPr="006F28A7" w:rsidRDefault="006F28A7" w:rsidP="00B97A55">
      <w:pPr>
        <w:tabs>
          <w:tab w:val="left" w:pos="284"/>
        </w:tabs>
        <w:spacing w:after="0" w:line="240" w:lineRule="atLeast"/>
        <w:ind w:firstLine="709"/>
        <w:jc w:val="both"/>
        <w:rPr>
          <w:rFonts w:ascii="Times New Roman" w:eastAsia="Calibri" w:hAnsi="Times New Roman" w:cs="Times New Roman"/>
          <w:sz w:val="24"/>
          <w:szCs w:val="18"/>
          <w:shd w:val="clear" w:color="auto" w:fill="FFFFFF"/>
        </w:rPr>
      </w:pPr>
      <w:r w:rsidRPr="006F28A7">
        <w:rPr>
          <w:rFonts w:ascii="Times New Roman" w:eastAsia="Calibri" w:hAnsi="Times New Roman" w:cs="Times New Roman"/>
          <w:sz w:val="24"/>
          <w:szCs w:val="18"/>
          <w:shd w:val="clear" w:color="auto" w:fill="FFFFFF"/>
        </w:rPr>
        <w:t>“</w:t>
      </w:r>
      <w:r w:rsidRPr="006F28A7">
        <w:rPr>
          <w:rFonts w:ascii="Times New Roman" w:eastAsia="Calibri" w:hAnsi="Times New Roman" w:cs="Times New Roman"/>
          <w:b/>
          <w:color w:val="000000"/>
          <w:sz w:val="24"/>
          <w:szCs w:val="18"/>
          <w:shd w:val="clear" w:color="auto" w:fill="FFFFFF"/>
        </w:rPr>
        <w:t>Hüküm Bulunmayan Haller</w:t>
      </w:r>
    </w:p>
    <w:p w:rsidR="006F28A7" w:rsidRPr="006F28A7" w:rsidRDefault="006F28A7" w:rsidP="00B97A55">
      <w:pPr>
        <w:tabs>
          <w:tab w:val="left" w:pos="284"/>
        </w:tabs>
        <w:spacing w:after="0" w:line="240" w:lineRule="atLeast"/>
        <w:ind w:firstLine="709"/>
        <w:jc w:val="both"/>
        <w:rPr>
          <w:rFonts w:ascii="Times New Roman" w:eastAsia="Calibri" w:hAnsi="Times New Roman" w:cs="Times New Roman"/>
          <w:b/>
          <w:color w:val="FF0000"/>
          <w:sz w:val="24"/>
          <w:szCs w:val="24"/>
        </w:rPr>
      </w:pPr>
      <w:r w:rsidRPr="006F28A7">
        <w:rPr>
          <w:rFonts w:ascii="Times New Roman" w:eastAsia="Calibri" w:hAnsi="Times New Roman" w:cs="Times New Roman"/>
          <w:b/>
          <w:sz w:val="24"/>
          <w:szCs w:val="18"/>
          <w:shd w:val="clear" w:color="auto" w:fill="FFFFFF"/>
        </w:rPr>
        <w:t>MADDE 60/A</w:t>
      </w:r>
      <w:r w:rsidRPr="006F28A7">
        <w:rPr>
          <w:rFonts w:ascii="Times New Roman" w:eastAsia="Calibri" w:hAnsi="Times New Roman" w:cs="Times New Roman"/>
          <w:sz w:val="24"/>
          <w:szCs w:val="24"/>
        </w:rPr>
        <w:t xml:space="preserve"> –</w:t>
      </w:r>
      <w:r w:rsidRPr="006F28A7">
        <w:rPr>
          <w:rFonts w:ascii="Times New Roman" w:eastAsia="Calibri" w:hAnsi="Times New Roman" w:cs="Times New Roman"/>
          <w:sz w:val="24"/>
          <w:szCs w:val="18"/>
          <w:shd w:val="clear" w:color="auto" w:fill="FFFFFF"/>
        </w:rPr>
        <w:t xml:space="preserve"> Bu Yönetmelikte hüküm bulunmayan hallerde; Lisansüstü Eğitim ve Öğretim Yönetmeliği hükümleri ile Yükseköğretim Kurulu, Senato, ilgili Enstitü Kurulu ve ilgili Enstitü Yönetim Kurulu Kararları uygulanır.</w:t>
      </w:r>
      <w:r w:rsidRPr="006F28A7">
        <w:rPr>
          <w:rFonts w:ascii="Times New Roman" w:eastAsia="Calibri" w:hAnsi="Times New Roman" w:cs="Times New Roman"/>
          <w:b/>
          <w:sz w:val="24"/>
          <w:szCs w:val="18"/>
          <w:shd w:val="clear" w:color="auto" w:fill="FFFFFF"/>
        </w:rPr>
        <w:t>”</w:t>
      </w:r>
      <w:r w:rsidRPr="006F28A7">
        <w:rPr>
          <w:rFonts w:ascii="Times New Roman" w:eastAsia="Calibri" w:hAnsi="Times New Roman" w:cs="Times New Roman"/>
          <w:sz w:val="24"/>
          <w:szCs w:val="24"/>
        </w:rPr>
        <w:t xml:space="preserve">          </w:t>
      </w:r>
    </w:p>
    <w:p w:rsidR="006F28A7" w:rsidRPr="006F28A7" w:rsidRDefault="00920984"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MADDE </w:t>
      </w:r>
      <w:r w:rsidR="006F28A7">
        <w:rPr>
          <w:rFonts w:ascii="Times New Roman" w:eastAsia="Calibri" w:hAnsi="Times New Roman" w:cs="Times New Roman"/>
          <w:b/>
          <w:sz w:val="24"/>
          <w:szCs w:val="24"/>
        </w:rPr>
        <w:t>19</w:t>
      </w:r>
      <w:r w:rsidR="006F28A7" w:rsidRPr="006F28A7">
        <w:rPr>
          <w:rFonts w:ascii="Times New Roman" w:eastAsia="Calibri" w:hAnsi="Times New Roman" w:cs="Times New Roman"/>
          <w:sz w:val="24"/>
          <w:szCs w:val="24"/>
        </w:rPr>
        <w:t xml:space="preserve"> –  Bu Yönetmelik yayımı tarihinde yürürlüğe girer. </w:t>
      </w:r>
    </w:p>
    <w:p w:rsidR="00EA406D" w:rsidRPr="006F28A7" w:rsidRDefault="00920984" w:rsidP="00B97A55">
      <w:pPr>
        <w:tabs>
          <w:tab w:val="left" w:pos="284"/>
        </w:tabs>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20</w:t>
      </w:r>
      <w:r w:rsidRPr="006F28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F28A7" w:rsidRPr="006F28A7">
        <w:rPr>
          <w:rFonts w:ascii="Times New Roman" w:eastAsia="Calibri" w:hAnsi="Times New Roman" w:cs="Times New Roman"/>
          <w:sz w:val="24"/>
          <w:szCs w:val="24"/>
        </w:rPr>
        <w:t xml:space="preserve">Bu Yönetmelik hükümlerini Bandırma Onyedi Eylül Üniversitesi </w:t>
      </w:r>
      <w:r w:rsidR="00EA406D">
        <w:rPr>
          <w:rFonts w:ascii="Times New Roman" w:eastAsia="Calibri" w:hAnsi="Times New Roman" w:cs="Times New Roman"/>
          <w:sz w:val="24"/>
          <w:szCs w:val="24"/>
        </w:rPr>
        <w:t>Rektörü yürütür.</w:t>
      </w:r>
    </w:p>
    <w:p w:rsidR="006F28A7" w:rsidRPr="006F28A7" w:rsidRDefault="006F28A7" w:rsidP="00B97A55">
      <w:pPr>
        <w:tabs>
          <w:tab w:val="left" w:pos="284"/>
        </w:tabs>
        <w:spacing w:after="0" w:line="240" w:lineRule="atLeast"/>
        <w:ind w:firstLine="709"/>
        <w:jc w:val="both"/>
        <w:rPr>
          <w:rFonts w:ascii="Times New Roman" w:eastAsia="Calibri"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6F28A7" w:rsidRPr="006F28A7" w:rsidTr="00A766D6">
        <w:tc>
          <w:tcPr>
            <w:tcW w:w="9062" w:type="dxa"/>
            <w:gridSpan w:val="2"/>
          </w:tcPr>
          <w:p w:rsidR="006F28A7" w:rsidRPr="006F28A7" w:rsidRDefault="006F28A7" w:rsidP="00B97A55">
            <w:pPr>
              <w:tabs>
                <w:tab w:val="left" w:pos="284"/>
              </w:tabs>
              <w:spacing w:line="240" w:lineRule="atLeast"/>
              <w:jc w:val="center"/>
              <w:rPr>
                <w:rFonts w:ascii="Times New Roman" w:eastAsia="Calibri" w:hAnsi="Times New Roman" w:cs="Times New Roman"/>
                <w:b/>
                <w:sz w:val="24"/>
                <w:szCs w:val="24"/>
              </w:rPr>
            </w:pPr>
            <w:r w:rsidRPr="006F28A7">
              <w:rPr>
                <w:rFonts w:ascii="Times New Roman" w:eastAsia="Calibri" w:hAnsi="Times New Roman" w:cs="Times New Roman"/>
                <w:b/>
                <w:sz w:val="24"/>
                <w:szCs w:val="24"/>
              </w:rPr>
              <w:t>Yönetmeliğin Yayımlandığı Resmi Gazete’nin</w:t>
            </w:r>
          </w:p>
          <w:p w:rsidR="006F28A7" w:rsidRPr="006F28A7" w:rsidRDefault="006F28A7" w:rsidP="00B97A55">
            <w:pPr>
              <w:tabs>
                <w:tab w:val="left" w:pos="284"/>
              </w:tabs>
              <w:spacing w:line="240" w:lineRule="atLeast"/>
              <w:rPr>
                <w:rFonts w:ascii="Times New Roman" w:eastAsia="Calibri" w:hAnsi="Times New Roman" w:cs="Times New Roman"/>
                <w:sz w:val="24"/>
                <w:szCs w:val="24"/>
              </w:rPr>
            </w:pPr>
            <w:r w:rsidRPr="006F28A7">
              <w:rPr>
                <w:rFonts w:ascii="Times New Roman" w:eastAsia="Calibri" w:hAnsi="Times New Roman" w:cs="Times New Roman"/>
                <w:sz w:val="24"/>
                <w:szCs w:val="24"/>
              </w:rPr>
              <w:t xml:space="preserve">                             Tarihi                                                               Sayısı</w:t>
            </w:r>
          </w:p>
        </w:tc>
      </w:tr>
      <w:tr w:rsidR="006F28A7" w:rsidRPr="006F28A7" w:rsidTr="00A766D6">
        <w:tc>
          <w:tcPr>
            <w:tcW w:w="4531" w:type="dxa"/>
          </w:tcPr>
          <w:p w:rsidR="006F28A7" w:rsidRPr="006F28A7" w:rsidRDefault="006F28A7" w:rsidP="00B97A55">
            <w:pPr>
              <w:tabs>
                <w:tab w:val="left" w:pos="284"/>
              </w:tabs>
              <w:spacing w:line="240" w:lineRule="atLeast"/>
              <w:jc w:val="both"/>
              <w:rPr>
                <w:rFonts w:ascii="Times New Roman" w:eastAsia="Calibri" w:hAnsi="Times New Roman" w:cs="Times New Roman"/>
                <w:sz w:val="24"/>
                <w:szCs w:val="24"/>
              </w:rPr>
            </w:pPr>
            <w:r w:rsidRPr="006F28A7">
              <w:rPr>
                <w:rFonts w:ascii="Times New Roman" w:eastAsia="Calibri" w:hAnsi="Times New Roman" w:cs="Times New Roman"/>
                <w:sz w:val="24"/>
                <w:szCs w:val="24"/>
              </w:rPr>
              <w:t xml:space="preserve">                           27/9/2016</w:t>
            </w:r>
          </w:p>
        </w:tc>
        <w:tc>
          <w:tcPr>
            <w:tcW w:w="4531" w:type="dxa"/>
          </w:tcPr>
          <w:p w:rsidR="006F28A7" w:rsidRPr="006F28A7" w:rsidRDefault="006F28A7" w:rsidP="00B97A55">
            <w:pPr>
              <w:tabs>
                <w:tab w:val="left" w:pos="284"/>
              </w:tabs>
              <w:spacing w:line="240" w:lineRule="atLeast"/>
              <w:jc w:val="both"/>
              <w:rPr>
                <w:rFonts w:ascii="Times New Roman" w:eastAsia="Calibri" w:hAnsi="Times New Roman" w:cs="Times New Roman"/>
                <w:sz w:val="24"/>
                <w:szCs w:val="24"/>
              </w:rPr>
            </w:pPr>
            <w:r w:rsidRPr="006F28A7">
              <w:rPr>
                <w:rFonts w:ascii="Times New Roman" w:eastAsia="Calibri" w:hAnsi="Times New Roman" w:cs="Times New Roman"/>
                <w:sz w:val="24"/>
                <w:szCs w:val="24"/>
              </w:rPr>
              <w:t xml:space="preserve">                          29840</w:t>
            </w:r>
          </w:p>
        </w:tc>
      </w:tr>
    </w:tbl>
    <w:p w:rsidR="006F28A7" w:rsidRPr="006F28A7" w:rsidRDefault="006F28A7" w:rsidP="00B97A55">
      <w:pPr>
        <w:tabs>
          <w:tab w:val="left" w:pos="284"/>
        </w:tabs>
        <w:spacing w:after="0" w:line="240" w:lineRule="atLeast"/>
        <w:ind w:firstLine="709"/>
        <w:jc w:val="both"/>
        <w:rPr>
          <w:rFonts w:ascii="Times New Roman" w:eastAsia="Calibri" w:hAnsi="Times New Roman" w:cs="Times New Roman"/>
          <w:sz w:val="24"/>
          <w:szCs w:val="24"/>
        </w:rPr>
      </w:pPr>
    </w:p>
    <w:p w:rsidR="00F5714F" w:rsidRDefault="00F5714F" w:rsidP="00B97A55">
      <w:pPr>
        <w:tabs>
          <w:tab w:val="left" w:pos="284"/>
        </w:tabs>
        <w:spacing w:after="0" w:line="240" w:lineRule="atLeast"/>
        <w:ind w:firstLine="709"/>
        <w:jc w:val="both"/>
        <w:rPr>
          <w:rFonts w:ascii="Times New Roman" w:eastAsia="Calibri" w:hAnsi="Times New Roman" w:cs="Times New Roman"/>
          <w:color w:val="000000" w:themeColor="text1"/>
          <w:sz w:val="24"/>
          <w:szCs w:val="24"/>
        </w:rPr>
      </w:pPr>
    </w:p>
    <w:p w:rsidR="00F5714F" w:rsidRPr="00F5714F" w:rsidRDefault="00F5714F" w:rsidP="00B97A55">
      <w:pPr>
        <w:tabs>
          <w:tab w:val="left" w:pos="284"/>
        </w:tabs>
        <w:spacing w:after="0" w:line="240" w:lineRule="atLeast"/>
        <w:ind w:firstLine="709"/>
        <w:jc w:val="both"/>
        <w:rPr>
          <w:rFonts w:ascii="Times New Roman" w:eastAsia="Calibri" w:hAnsi="Times New Roman" w:cs="Times New Roman"/>
          <w:color w:val="000000" w:themeColor="text1"/>
          <w:sz w:val="24"/>
          <w:szCs w:val="24"/>
        </w:rPr>
      </w:pPr>
    </w:p>
    <w:p w:rsidR="00F5714F" w:rsidRDefault="00F5714F" w:rsidP="00B97A55">
      <w:pPr>
        <w:tabs>
          <w:tab w:val="left" w:pos="284"/>
        </w:tabs>
        <w:spacing w:after="0" w:line="240" w:lineRule="atLeast"/>
        <w:ind w:firstLine="709"/>
        <w:jc w:val="both"/>
        <w:rPr>
          <w:rFonts w:ascii="Times New Roman" w:eastAsia="Calibri" w:hAnsi="Times New Roman" w:cs="Times New Roman"/>
          <w:sz w:val="24"/>
          <w:szCs w:val="24"/>
        </w:rPr>
      </w:pPr>
    </w:p>
    <w:p w:rsidR="00F5714F" w:rsidRPr="00F146FA" w:rsidRDefault="00F5714F" w:rsidP="00B97A55">
      <w:pPr>
        <w:tabs>
          <w:tab w:val="left" w:pos="284"/>
        </w:tabs>
        <w:spacing w:after="0" w:line="240" w:lineRule="atLeast"/>
        <w:ind w:firstLine="709"/>
        <w:jc w:val="both"/>
        <w:rPr>
          <w:rFonts w:ascii="Times New Roman" w:eastAsia="Calibri" w:hAnsi="Times New Roman" w:cs="Times New Roman"/>
          <w:b/>
          <w:sz w:val="24"/>
          <w:szCs w:val="24"/>
        </w:rPr>
      </w:pPr>
    </w:p>
    <w:p w:rsidR="00F146FA" w:rsidRPr="00F146FA" w:rsidRDefault="00F146FA" w:rsidP="00B97A55">
      <w:pPr>
        <w:tabs>
          <w:tab w:val="left" w:pos="284"/>
        </w:tabs>
        <w:spacing w:after="0" w:line="240" w:lineRule="atLeast"/>
        <w:ind w:firstLine="709"/>
        <w:jc w:val="both"/>
        <w:rPr>
          <w:rFonts w:ascii="Times New Roman" w:eastAsia="Calibri" w:hAnsi="Times New Roman" w:cs="Times New Roman"/>
          <w:b/>
          <w:sz w:val="24"/>
          <w:szCs w:val="24"/>
        </w:rPr>
      </w:pPr>
    </w:p>
    <w:p w:rsidR="00534DA2" w:rsidRDefault="00534DA2" w:rsidP="00B97A55">
      <w:pPr>
        <w:spacing w:after="0"/>
      </w:pPr>
    </w:p>
    <w:sectPr w:rsidR="00534D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AC" w:rsidRDefault="002255AC" w:rsidP="006F28A7">
      <w:pPr>
        <w:spacing w:after="0" w:line="240" w:lineRule="auto"/>
      </w:pPr>
      <w:r>
        <w:separator/>
      </w:r>
    </w:p>
  </w:endnote>
  <w:endnote w:type="continuationSeparator" w:id="0">
    <w:p w:rsidR="002255AC" w:rsidRDefault="002255AC" w:rsidP="006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625537"/>
      <w:docPartObj>
        <w:docPartGallery w:val="Page Numbers (Bottom of Page)"/>
        <w:docPartUnique/>
      </w:docPartObj>
    </w:sdtPr>
    <w:sdtEndPr/>
    <w:sdtContent>
      <w:p w:rsidR="006F28A7" w:rsidRDefault="006F28A7">
        <w:pPr>
          <w:pStyle w:val="AltBilgi"/>
          <w:jc w:val="center"/>
        </w:pPr>
        <w:r>
          <w:fldChar w:fldCharType="begin"/>
        </w:r>
        <w:r>
          <w:instrText>PAGE   \* MERGEFORMAT</w:instrText>
        </w:r>
        <w:r>
          <w:fldChar w:fldCharType="separate"/>
        </w:r>
        <w:r w:rsidR="002255AC">
          <w:rPr>
            <w:noProof/>
          </w:rPr>
          <w:t>1</w:t>
        </w:r>
        <w:r>
          <w:fldChar w:fldCharType="end"/>
        </w:r>
      </w:p>
    </w:sdtContent>
  </w:sdt>
  <w:p w:rsidR="006F28A7" w:rsidRDefault="006F28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AC" w:rsidRDefault="002255AC" w:rsidP="006F28A7">
      <w:pPr>
        <w:spacing w:after="0" w:line="240" w:lineRule="auto"/>
      </w:pPr>
      <w:r>
        <w:separator/>
      </w:r>
    </w:p>
  </w:footnote>
  <w:footnote w:type="continuationSeparator" w:id="0">
    <w:p w:rsidR="002255AC" w:rsidRDefault="002255AC" w:rsidP="006F2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A"/>
    <w:rsid w:val="00091B8E"/>
    <w:rsid w:val="002255AC"/>
    <w:rsid w:val="00282525"/>
    <w:rsid w:val="002B6FAB"/>
    <w:rsid w:val="00534DA2"/>
    <w:rsid w:val="005573E4"/>
    <w:rsid w:val="005F06E7"/>
    <w:rsid w:val="006F28A7"/>
    <w:rsid w:val="00717AC6"/>
    <w:rsid w:val="00804552"/>
    <w:rsid w:val="0086438D"/>
    <w:rsid w:val="00872F8C"/>
    <w:rsid w:val="008B1958"/>
    <w:rsid w:val="008D6FF1"/>
    <w:rsid w:val="00920984"/>
    <w:rsid w:val="009C2625"/>
    <w:rsid w:val="00B04283"/>
    <w:rsid w:val="00B82AC9"/>
    <w:rsid w:val="00B97A55"/>
    <w:rsid w:val="00BA20EB"/>
    <w:rsid w:val="00BD47D3"/>
    <w:rsid w:val="00C12F2F"/>
    <w:rsid w:val="00D473BD"/>
    <w:rsid w:val="00D53F21"/>
    <w:rsid w:val="00D82D11"/>
    <w:rsid w:val="00EA406D"/>
    <w:rsid w:val="00F146FA"/>
    <w:rsid w:val="00F5714F"/>
    <w:rsid w:val="00FD1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98E8-0382-47E6-9F14-53677EE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14F"/>
    <w:pPr>
      <w:ind w:left="720"/>
      <w:contextualSpacing/>
    </w:pPr>
  </w:style>
  <w:style w:type="table" w:styleId="TabloKlavuzu">
    <w:name w:val="Table Grid"/>
    <w:basedOn w:val="NormalTablo"/>
    <w:uiPriority w:val="59"/>
    <w:rsid w:val="006F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28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28A7"/>
  </w:style>
  <w:style w:type="paragraph" w:styleId="AltBilgi">
    <w:name w:val="footer"/>
    <w:basedOn w:val="Normal"/>
    <w:link w:val="AltBilgiChar"/>
    <w:uiPriority w:val="99"/>
    <w:unhideWhenUsed/>
    <w:rsid w:val="006F28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28A7"/>
  </w:style>
  <w:style w:type="paragraph" w:styleId="BalonMetni">
    <w:name w:val="Balloon Text"/>
    <w:basedOn w:val="Normal"/>
    <w:link w:val="BalonMetniChar"/>
    <w:uiPriority w:val="99"/>
    <w:semiHidden/>
    <w:unhideWhenUsed/>
    <w:rsid w:val="008643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E418-BA4E-4ADB-85AD-DEC0CE4D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IŞKIN</dc:creator>
  <cp:keywords/>
  <dc:description/>
  <cp:lastModifiedBy>NEZAHAT SAVAŞ</cp:lastModifiedBy>
  <cp:revision>2</cp:revision>
  <cp:lastPrinted>2018-05-23T12:26:00Z</cp:lastPrinted>
  <dcterms:created xsi:type="dcterms:W3CDTF">2018-05-23T12:26:00Z</dcterms:created>
  <dcterms:modified xsi:type="dcterms:W3CDTF">2018-05-23T12:26:00Z</dcterms:modified>
</cp:coreProperties>
</file>