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8" w:rsidRPr="00FD5DB1" w:rsidRDefault="008C2436" w:rsidP="005E3A1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 xml:space="preserve">T.C. </w:t>
      </w:r>
      <w:r w:rsidR="00C45998" w:rsidRPr="00FD5DB1">
        <w:rPr>
          <w:rFonts w:ascii="Times New Roman" w:hAnsi="Times New Roman" w:cs="Times New Roman"/>
          <w:b/>
          <w:noProof/>
          <w:sz w:val="24"/>
          <w:szCs w:val="24"/>
        </w:rPr>
        <w:t>BANDIRMA ONYEDİ EYLÜL ÜNİVERSİTESİ</w:t>
      </w:r>
      <w:r w:rsidRPr="00FD5DB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45998" w:rsidRPr="00FD5DB1">
        <w:rPr>
          <w:rFonts w:ascii="Times New Roman" w:hAnsi="Times New Roman" w:cs="Times New Roman"/>
          <w:b/>
          <w:noProof/>
          <w:sz w:val="24"/>
          <w:szCs w:val="24"/>
        </w:rPr>
        <w:t>DENİZCİLİK FAKÜLTESİ</w:t>
      </w:r>
    </w:p>
    <w:p w:rsidR="00C45998" w:rsidRPr="00FD5DB1" w:rsidRDefault="00C45998" w:rsidP="00C459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NO</w:t>
      </w:r>
      <w:r w:rsidR="008C2436" w:rsidRPr="00FD5DB1">
        <w:rPr>
          <w:rFonts w:ascii="Times New Roman" w:hAnsi="Times New Roman" w:cs="Times New Roman"/>
          <w:b/>
          <w:noProof/>
          <w:sz w:val="24"/>
          <w:szCs w:val="24"/>
        </w:rPr>
        <w:t>x</w:t>
      </w:r>
      <w:r w:rsidRPr="00FD5DB1">
        <w:rPr>
          <w:rFonts w:ascii="Times New Roman" w:hAnsi="Times New Roman" w:cs="Times New Roman"/>
          <w:b/>
          <w:noProof/>
          <w:sz w:val="24"/>
          <w:szCs w:val="24"/>
        </w:rPr>
        <w:t xml:space="preserve"> EMİSYONU ÖLÇÜM YÖNERGESİ</w:t>
      </w:r>
    </w:p>
    <w:p w:rsidR="00C45998" w:rsidRPr="00FD5DB1" w:rsidRDefault="00C45998" w:rsidP="005E3A1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BİRİNCİ BÖLÜM</w:t>
      </w:r>
    </w:p>
    <w:p w:rsidR="00C45998" w:rsidRPr="00FD5DB1" w:rsidRDefault="00C45998" w:rsidP="00C4599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Amaç, Kapsam, Dayanak ve Tanımlar</w:t>
      </w:r>
    </w:p>
    <w:p w:rsidR="00C45998" w:rsidRPr="00FD5DB1" w:rsidRDefault="00C45998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Amaç</w:t>
      </w:r>
    </w:p>
    <w:p w:rsidR="00C45998" w:rsidRPr="00FD5DB1" w:rsidRDefault="00FD5DB1" w:rsidP="00FD5DB1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1 -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5E3A15">
        <w:rPr>
          <w:rFonts w:ascii="Times New Roman" w:hAnsi="Times New Roman" w:cs="Times New Roman"/>
          <w:noProof/>
          <w:sz w:val="24"/>
          <w:szCs w:val="24"/>
        </w:rPr>
        <w:t>Y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önergenin amacı, gemilerin ana ve yardımcı makinelerinden kaynaklanan NOx emisyonlarının ölçümleri</w:t>
      </w:r>
      <w:r w:rsidR="00FD6778">
        <w:rPr>
          <w:rFonts w:ascii="Times New Roman" w:hAnsi="Times New Roman" w:cs="Times New Roman"/>
          <w:noProof/>
          <w:sz w:val="24"/>
          <w:szCs w:val="24"/>
        </w:rPr>
        <w:t xml:space="preserve"> ile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belgelendirme işlem</w:t>
      </w:r>
      <w:r w:rsidR="00FD6778">
        <w:rPr>
          <w:rFonts w:ascii="Times New Roman" w:hAnsi="Times New Roman" w:cs="Times New Roman"/>
          <w:noProof/>
          <w:sz w:val="24"/>
          <w:szCs w:val="24"/>
        </w:rPr>
        <w:t>lerinin yapılmasına ilişkin usul ve esasları düzenlemektir.</w:t>
      </w:r>
    </w:p>
    <w:p w:rsidR="00C45998" w:rsidRPr="00FD5DB1" w:rsidRDefault="00C45998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Kapsam</w:t>
      </w:r>
    </w:p>
    <w:p w:rsidR="00C45998" w:rsidRPr="00FD5DB1" w:rsidRDefault="00FD5DB1" w:rsidP="00FD5DB1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FD6778">
        <w:rPr>
          <w:rFonts w:ascii="Times New Roman" w:hAnsi="Times New Roman" w:cs="Times New Roman"/>
          <w:noProof/>
          <w:sz w:val="24"/>
          <w:szCs w:val="24"/>
        </w:rPr>
        <w:t>Y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önerge, </w:t>
      </w:r>
      <w:r w:rsidR="00C45998" w:rsidRPr="00291B9B">
        <w:rPr>
          <w:rFonts w:ascii="Times New Roman" w:hAnsi="Times New Roman" w:cs="Times New Roman"/>
          <w:noProof/>
          <w:sz w:val="24"/>
          <w:szCs w:val="24"/>
        </w:rPr>
        <w:t xml:space="preserve">400 grt’ dan küçük teknelerde bulunan 130 kW ve üzerinde güce sahip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içten yanmalı motorların</w:t>
      </w:r>
      <w:r w:rsidR="00AD4AAC" w:rsidRPr="00FD5DB1">
        <w:rPr>
          <w:rFonts w:ascii="Times New Roman" w:hAnsi="Times New Roman" w:cs="Times New Roman"/>
          <w:noProof/>
          <w:sz w:val="24"/>
          <w:szCs w:val="24"/>
        </w:rPr>
        <w:t xml:space="preserve"> NOx emisyonu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 ölçüm ve belgelendirme işlem</w:t>
      </w:r>
      <w:r w:rsidR="00FD6778">
        <w:rPr>
          <w:rFonts w:ascii="Times New Roman" w:hAnsi="Times New Roman" w:cs="Times New Roman"/>
          <w:noProof/>
          <w:sz w:val="24"/>
          <w:szCs w:val="24"/>
        </w:rPr>
        <w:t>ler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ini kapsar.</w:t>
      </w:r>
    </w:p>
    <w:p w:rsidR="00C45998" w:rsidRPr="00FD5DB1" w:rsidRDefault="00C45998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Dayanak</w:t>
      </w:r>
    </w:p>
    <w:p w:rsidR="00C45998" w:rsidRPr="00FD5DB1" w:rsidRDefault="00FD5DB1" w:rsidP="00FD5DB1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FD6778">
        <w:rPr>
          <w:rFonts w:ascii="Times New Roman" w:hAnsi="Times New Roman" w:cs="Times New Roman"/>
          <w:noProof/>
          <w:sz w:val="24"/>
          <w:szCs w:val="24"/>
        </w:rPr>
        <w:t>Y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önerge,</w:t>
      </w:r>
      <w:r w:rsidR="00317D8B" w:rsidRPr="00FD5DB1">
        <w:rPr>
          <w:rFonts w:ascii="Times New Roman" w:hAnsi="Times New Roman" w:cs="Times New Roman"/>
          <w:noProof/>
          <w:sz w:val="24"/>
          <w:szCs w:val="24"/>
        </w:rPr>
        <w:t xml:space="preserve"> MARPOL Ek VI Kural 13 ve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 NOx Teknik Kod</w:t>
      </w:r>
      <w:r w:rsidR="00FD6778">
        <w:rPr>
          <w:rFonts w:ascii="Times New Roman" w:hAnsi="Times New Roman" w:cs="Times New Roman"/>
          <w:noProof/>
          <w:sz w:val="24"/>
          <w:szCs w:val="24"/>
        </w:rPr>
        <w:t>’</w:t>
      </w:r>
      <w:r w:rsidR="00317D8B" w:rsidRPr="00FD5DB1">
        <w:rPr>
          <w:rFonts w:ascii="Times New Roman" w:hAnsi="Times New Roman" w:cs="Times New Roman"/>
          <w:noProof/>
          <w:sz w:val="24"/>
          <w:szCs w:val="24"/>
        </w:rPr>
        <w:t>a dayan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ılarak hazırlanmıştır.</w:t>
      </w:r>
    </w:p>
    <w:p w:rsidR="00C45998" w:rsidRPr="00FD5DB1" w:rsidRDefault="00C45998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noProof/>
          <w:sz w:val="24"/>
          <w:szCs w:val="24"/>
        </w:rPr>
        <w:t>Tanımlar</w:t>
      </w:r>
    </w:p>
    <w:p w:rsidR="00C45998" w:rsidRPr="00FD5DB1" w:rsidRDefault="00FD5DB1" w:rsidP="005E3A15">
      <w:pPr>
        <w:spacing w:after="0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5E3A15">
        <w:rPr>
          <w:rFonts w:ascii="Times New Roman" w:hAnsi="Times New Roman" w:cs="Times New Roman"/>
          <w:noProof/>
          <w:sz w:val="24"/>
          <w:szCs w:val="24"/>
        </w:rPr>
        <w:t>Y</w:t>
      </w:r>
      <w:r w:rsidR="00C45998" w:rsidRPr="00FD5DB1">
        <w:rPr>
          <w:rFonts w:ascii="Times New Roman" w:hAnsi="Times New Roman" w:cs="Times New Roman"/>
          <w:noProof/>
          <w:sz w:val="24"/>
          <w:szCs w:val="24"/>
        </w:rPr>
        <w:t>önerge</w:t>
      </w:r>
      <w:r w:rsidR="005E3A15">
        <w:rPr>
          <w:rFonts w:ascii="Times New Roman" w:hAnsi="Times New Roman" w:cs="Times New Roman"/>
          <w:noProof/>
          <w:sz w:val="24"/>
          <w:szCs w:val="24"/>
        </w:rPr>
        <w:t>nin uygulanmasında;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>Dekanlık: Bandırma Onyedi Eylül Üniversitesi Denizcilik Fakültesi Dekanlığını,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>Fakülte: Bandırma Onyedi Eylül Üniversitesi Denizcilik Fakültesini,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 xml:space="preserve">NOx </w:t>
      </w:r>
      <w:r w:rsidR="005E3A15" w:rsidRPr="005E3A15">
        <w:rPr>
          <w:rFonts w:ascii="Times New Roman" w:hAnsi="Times New Roman" w:cs="Times New Roman"/>
          <w:noProof/>
          <w:sz w:val="24"/>
          <w:szCs w:val="24"/>
        </w:rPr>
        <w:t xml:space="preserve">emisyonu ölçüm raporu: </w:t>
      </w:r>
      <w:r w:rsidRPr="005E3A15">
        <w:rPr>
          <w:rFonts w:ascii="Times New Roman" w:hAnsi="Times New Roman" w:cs="Times New Roman"/>
          <w:noProof/>
          <w:sz w:val="24"/>
          <w:szCs w:val="24"/>
        </w:rPr>
        <w:t>Ölçüm sonucunda Fakülte tarafından düzenlenen değerlendirme raporunu,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 xml:space="preserve">Ölçüm </w:t>
      </w:r>
      <w:r w:rsidR="005E3A15" w:rsidRPr="005E3A15">
        <w:rPr>
          <w:rFonts w:ascii="Times New Roman" w:hAnsi="Times New Roman" w:cs="Times New Roman"/>
          <w:noProof/>
          <w:sz w:val="24"/>
          <w:szCs w:val="24"/>
        </w:rPr>
        <w:t xml:space="preserve">ekibi: </w:t>
      </w:r>
      <w:r w:rsidRPr="005E3A15">
        <w:rPr>
          <w:rFonts w:ascii="Times New Roman" w:hAnsi="Times New Roman" w:cs="Times New Roman"/>
          <w:noProof/>
          <w:sz w:val="24"/>
          <w:szCs w:val="24"/>
        </w:rPr>
        <w:t>Ölçüm ekip lideri ve ölçüm uzmanlarından oluşan ekibi,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 xml:space="preserve">Ölçüm </w:t>
      </w:r>
      <w:r w:rsidR="005E3A15" w:rsidRPr="005E3A15">
        <w:rPr>
          <w:rFonts w:ascii="Times New Roman" w:hAnsi="Times New Roman" w:cs="Times New Roman"/>
          <w:noProof/>
          <w:sz w:val="24"/>
          <w:szCs w:val="24"/>
        </w:rPr>
        <w:t xml:space="preserve">uzmanı: </w:t>
      </w:r>
      <w:r w:rsidRPr="005E3A15">
        <w:rPr>
          <w:rFonts w:ascii="Times New Roman" w:hAnsi="Times New Roman" w:cs="Times New Roman"/>
          <w:noProof/>
          <w:sz w:val="24"/>
          <w:szCs w:val="24"/>
        </w:rPr>
        <w:t>Ölçümü gerçekleştirmek üzere yeterliliğe sahip Fakülte personelini,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>Senato: Bandırma Onyedi Eylül Üniversitesi Senatosunu,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 xml:space="preserve">Üniversite </w:t>
      </w:r>
      <w:r w:rsidR="005E3A15" w:rsidRPr="005E3A15">
        <w:rPr>
          <w:rFonts w:ascii="Times New Roman" w:hAnsi="Times New Roman" w:cs="Times New Roman"/>
          <w:noProof/>
          <w:sz w:val="24"/>
          <w:szCs w:val="24"/>
        </w:rPr>
        <w:t xml:space="preserve">yönetim kurulu: </w:t>
      </w:r>
      <w:r w:rsidRPr="005E3A15">
        <w:rPr>
          <w:rFonts w:ascii="Times New Roman" w:hAnsi="Times New Roman" w:cs="Times New Roman"/>
          <w:noProof/>
          <w:sz w:val="24"/>
          <w:szCs w:val="24"/>
        </w:rPr>
        <w:t>Bandırma Onyedi Eylül Üniversitesi Yönetim Kurulunu, 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>Üniversite: Bandırma Onyedi Eylül Üniversitesini,</w:t>
      </w:r>
    </w:p>
    <w:p w:rsidR="008C2436" w:rsidRPr="005E3A15" w:rsidRDefault="008C2436" w:rsidP="005E3A15">
      <w:pPr>
        <w:pStyle w:val="ListeParagraf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3A15">
        <w:rPr>
          <w:rFonts w:ascii="Times New Roman" w:hAnsi="Times New Roman" w:cs="Times New Roman"/>
          <w:noProof/>
          <w:sz w:val="24"/>
          <w:szCs w:val="24"/>
        </w:rPr>
        <w:t>Yönerge: Bandırma Onyedi Eylül Üniversitesi Denizcilik Fakültesi NOx Emisyonu Ölçüm Yönergesini,</w:t>
      </w:r>
    </w:p>
    <w:p w:rsidR="002D554B" w:rsidRPr="00FD5DB1" w:rsidRDefault="002D554B" w:rsidP="00FD5DB1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DB1">
        <w:rPr>
          <w:rFonts w:ascii="Times New Roman" w:hAnsi="Times New Roman" w:cs="Times New Roman"/>
          <w:noProof/>
          <w:sz w:val="24"/>
          <w:szCs w:val="24"/>
        </w:rPr>
        <w:t>ifade eder.</w:t>
      </w:r>
    </w:p>
    <w:p w:rsidR="00317D8B" w:rsidRPr="00FD5DB1" w:rsidRDefault="00317D8B" w:rsidP="005E3A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317D8B" w:rsidRPr="00FD5DB1" w:rsidRDefault="00317D8B" w:rsidP="0031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Ölçüm, Değerlendirme ve Belgelendirmenin Yapılması</w:t>
      </w:r>
    </w:p>
    <w:p w:rsidR="00317D8B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 yapılacak teknenin belirlenmesi</w:t>
      </w:r>
    </w:p>
    <w:p w:rsidR="00317D8B" w:rsidRPr="00FD5DB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317D8B" w:rsidRPr="00FD5DB1">
        <w:rPr>
          <w:rFonts w:ascii="Times New Roman" w:hAnsi="Times New Roman" w:cs="Times New Roman"/>
          <w:sz w:val="24"/>
          <w:szCs w:val="24"/>
        </w:rPr>
        <w:t>Ölçüm yap</w:t>
      </w:r>
      <w:r w:rsidR="00FD6778">
        <w:rPr>
          <w:rFonts w:ascii="Times New Roman" w:hAnsi="Times New Roman" w:cs="Times New Roman"/>
          <w:sz w:val="24"/>
          <w:szCs w:val="24"/>
        </w:rPr>
        <w:t>ılacak tekne sahibinin Fakülte</w:t>
      </w:r>
      <w:r w:rsidR="00317D8B" w:rsidRPr="00FD5DB1">
        <w:rPr>
          <w:rFonts w:ascii="Times New Roman" w:hAnsi="Times New Roman" w:cs="Times New Roman"/>
          <w:sz w:val="24"/>
          <w:szCs w:val="24"/>
        </w:rPr>
        <w:t>ye başvurusu üzerine, teknenin denize elverişlilik belgesi alınarak ölçüm süreci başlatılır. Denize elverişlilik belgesindeki tekneye ait bilgiler değerlendirilerek, ölçüm yapılacak makineler belirlenir.</w:t>
      </w:r>
    </w:p>
    <w:p w:rsidR="004D5FC5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 ücreti</w:t>
      </w:r>
    </w:p>
    <w:p w:rsidR="00C9457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4814FF" w:rsidRPr="00FD5DB1">
        <w:rPr>
          <w:rFonts w:ascii="Times New Roman" w:hAnsi="Times New Roman" w:cs="Times New Roman"/>
          <w:sz w:val="24"/>
          <w:szCs w:val="24"/>
        </w:rPr>
        <w:t xml:space="preserve">Her mali yılbaşında Dekanlıkça belirlenen ve o yıl için geçerli olan </w:t>
      </w:r>
      <w:r w:rsidR="00053F0C">
        <w:rPr>
          <w:rFonts w:ascii="Times New Roman" w:hAnsi="Times New Roman" w:cs="Times New Roman"/>
          <w:sz w:val="24"/>
          <w:szCs w:val="24"/>
        </w:rPr>
        <w:t xml:space="preserve">ölçüm ücreti Dekanlıkça Üniversite Yönetim Kuruluna </w:t>
      </w:r>
      <w:r w:rsidR="00053F0C" w:rsidRPr="00FD5DB1">
        <w:rPr>
          <w:rFonts w:ascii="Times New Roman" w:hAnsi="Times New Roman" w:cs="Times New Roman"/>
          <w:sz w:val="24"/>
          <w:szCs w:val="24"/>
        </w:rPr>
        <w:t>önerilir</w:t>
      </w:r>
      <w:r w:rsidR="004814FF" w:rsidRPr="00FD5DB1">
        <w:rPr>
          <w:rFonts w:ascii="Times New Roman" w:hAnsi="Times New Roman" w:cs="Times New Roman"/>
          <w:sz w:val="24"/>
          <w:szCs w:val="24"/>
        </w:rPr>
        <w:t>.</w:t>
      </w:r>
      <w:r w:rsidR="005F6F8F" w:rsidRPr="00F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C5" w:rsidRPr="00FD5DB1" w:rsidRDefault="001114E8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FD6778">
        <w:rPr>
          <w:rFonts w:ascii="Times New Roman" w:hAnsi="Times New Roman" w:cs="Times New Roman"/>
          <w:sz w:val="24"/>
          <w:szCs w:val="24"/>
        </w:rPr>
        <w:t xml:space="preserve">) </w:t>
      </w:r>
      <w:r w:rsidR="002D554B" w:rsidRPr="00FD5DB1">
        <w:rPr>
          <w:rFonts w:ascii="Times New Roman" w:hAnsi="Times New Roman" w:cs="Times New Roman"/>
          <w:sz w:val="24"/>
          <w:szCs w:val="24"/>
        </w:rPr>
        <w:t>Ödemeler</w:t>
      </w:r>
      <w:r w:rsidR="008C2436" w:rsidRPr="00FD5DB1">
        <w:rPr>
          <w:rFonts w:ascii="Times New Roman" w:hAnsi="Times New Roman" w:cs="Times New Roman"/>
          <w:sz w:val="24"/>
          <w:szCs w:val="24"/>
        </w:rPr>
        <w:t>,</w:t>
      </w:r>
      <w:r w:rsidR="002D554B" w:rsidRPr="00FD5DB1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287F78">
        <w:rPr>
          <w:rFonts w:ascii="Times New Roman" w:hAnsi="Times New Roman" w:cs="Times New Roman"/>
          <w:sz w:val="24"/>
          <w:szCs w:val="24"/>
        </w:rPr>
        <w:t xml:space="preserve"> </w:t>
      </w:r>
      <w:r w:rsidR="005310B0" w:rsidRPr="00FD5DB1">
        <w:rPr>
          <w:rFonts w:ascii="Times New Roman" w:hAnsi="Times New Roman" w:cs="Times New Roman"/>
          <w:sz w:val="24"/>
          <w:szCs w:val="24"/>
        </w:rPr>
        <w:t>Döner Sermaye İşletmesi</w:t>
      </w:r>
      <w:r w:rsidR="002D554B" w:rsidRPr="00FD5DB1">
        <w:rPr>
          <w:rFonts w:ascii="Times New Roman" w:hAnsi="Times New Roman" w:cs="Times New Roman"/>
          <w:sz w:val="24"/>
          <w:szCs w:val="24"/>
        </w:rPr>
        <w:t xml:space="preserve"> tarafından belirtilen IBAN numarası hesabına tekne sahibi veya işletmecisi tarafından</w:t>
      </w:r>
      <w:r w:rsidR="005310B0" w:rsidRPr="00FD5DB1">
        <w:rPr>
          <w:rFonts w:ascii="Times New Roman" w:hAnsi="Times New Roman" w:cs="Times New Roman"/>
          <w:sz w:val="24"/>
          <w:szCs w:val="24"/>
        </w:rPr>
        <w:t xml:space="preserve"> peşin olarak ödenir</w:t>
      </w:r>
      <w:r w:rsidR="002D554B" w:rsidRPr="00FD5DB1">
        <w:rPr>
          <w:rFonts w:ascii="Times New Roman" w:hAnsi="Times New Roman" w:cs="Times New Roman"/>
          <w:sz w:val="24"/>
          <w:szCs w:val="24"/>
        </w:rPr>
        <w:t>.</w:t>
      </w:r>
    </w:p>
    <w:p w:rsidR="00317D8B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 takviminin oluşturulması</w:t>
      </w:r>
    </w:p>
    <w:p w:rsidR="00317D8B" w:rsidRPr="00FD5DB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317D8B" w:rsidRPr="00FD5DB1">
        <w:rPr>
          <w:rFonts w:ascii="Times New Roman" w:hAnsi="Times New Roman" w:cs="Times New Roman"/>
          <w:sz w:val="24"/>
          <w:szCs w:val="24"/>
        </w:rPr>
        <w:t>Teknenin ölçüme uygun olduğu tarihler</w:t>
      </w:r>
      <w:r w:rsidR="00CC10BA">
        <w:rPr>
          <w:rFonts w:ascii="Times New Roman" w:hAnsi="Times New Roman" w:cs="Times New Roman"/>
          <w:sz w:val="24"/>
          <w:szCs w:val="24"/>
        </w:rPr>
        <w:t>,</w:t>
      </w:r>
      <w:r w:rsidR="00317D8B" w:rsidRPr="00FD5DB1">
        <w:rPr>
          <w:rFonts w:ascii="Times New Roman" w:hAnsi="Times New Roman" w:cs="Times New Roman"/>
          <w:sz w:val="24"/>
          <w:szCs w:val="24"/>
        </w:rPr>
        <w:t xml:space="preserve"> tekne sahibi </w:t>
      </w:r>
      <w:r w:rsidR="00CC10BA">
        <w:rPr>
          <w:rFonts w:ascii="Times New Roman" w:hAnsi="Times New Roman" w:cs="Times New Roman"/>
          <w:sz w:val="24"/>
          <w:szCs w:val="24"/>
        </w:rPr>
        <w:t>tarafından Fakülte</w:t>
      </w:r>
      <w:r w:rsidR="00317D8B" w:rsidRPr="00FD5DB1">
        <w:rPr>
          <w:rFonts w:ascii="Times New Roman" w:hAnsi="Times New Roman" w:cs="Times New Roman"/>
          <w:sz w:val="24"/>
          <w:szCs w:val="24"/>
        </w:rPr>
        <w:t>ye bildirilir. Bu d</w:t>
      </w:r>
      <w:r w:rsidR="00CD6F5A" w:rsidRPr="00FD5DB1">
        <w:rPr>
          <w:rFonts w:ascii="Times New Roman" w:hAnsi="Times New Roman" w:cs="Times New Roman"/>
          <w:sz w:val="24"/>
          <w:szCs w:val="24"/>
        </w:rPr>
        <w:t>oğrultuda, ölçüm ekibi Fakülte</w:t>
      </w:r>
      <w:r w:rsidR="00317D8B" w:rsidRPr="00FD5DB1">
        <w:rPr>
          <w:rFonts w:ascii="Times New Roman" w:hAnsi="Times New Roman" w:cs="Times New Roman"/>
          <w:sz w:val="24"/>
          <w:szCs w:val="24"/>
        </w:rPr>
        <w:t>deki akademik ve idari işlerini aksatmayacak şekilde ölçüm tarihini belirler.</w:t>
      </w:r>
    </w:p>
    <w:p w:rsidR="00317D8B" w:rsidRPr="00FD5DB1" w:rsidRDefault="00317D8B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 xml:space="preserve">Ölçüm </w:t>
      </w:r>
      <w:r w:rsidR="00FD5DB1" w:rsidRPr="00FD5DB1">
        <w:rPr>
          <w:rFonts w:ascii="Times New Roman" w:hAnsi="Times New Roman" w:cs="Times New Roman"/>
          <w:b/>
          <w:sz w:val="24"/>
          <w:szCs w:val="24"/>
        </w:rPr>
        <w:t>takvimi ve ölçülecek teknenin bildirimi</w:t>
      </w:r>
    </w:p>
    <w:p w:rsidR="00317D8B" w:rsidRPr="00FD5DB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EF5128" w:rsidRPr="00FD5DB1">
        <w:rPr>
          <w:rFonts w:ascii="Times New Roman" w:hAnsi="Times New Roman" w:cs="Times New Roman"/>
          <w:sz w:val="24"/>
          <w:szCs w:val="24"/>
        </w:rPr>
        <w:t>Ölçümü yapılacak teknenin takvimi hakkında, teknenin bağlama limanına</w:t>
      </w:r>
      <w:r w:rsidR="005310B0" w:rsidRPr="00FD5DB1">
        <w:rPr>
          <w:rFonts w:ascii="Times New Roman" w:hAnsi="Times New Roman" w:cs="Times New Roman"/>
          <w:sz w:val="24"/>
          <w:szCs w:val="24"/>
        </w:rPr>
        <w:t xml:space="preserve"> Fakülte tarafından</w:t>
      </w:r>
      <w:r w:rsidR="00EF5128" w:rsidRPr="00FD5DB1">
        <w:rPr>
          <w:rFonts w:ascii="Times New Roman" w:hAnsi="Times New Roman" w:cs="Times New Roman"/>
          <w:sz w:val="24"/>
          <w:szCs w:val="24"/>
        </w:rPr>
        <w:t xml:space="preserve"> bildirimde bulunulur. </w:t>
      </w:r>
    </w:p>
    <w:p w:rsidR="00EF5128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Ölçümün yapılması</w:t>
      </w:r>
    </w:p>
    <w:p w:rsidR="00EF5128" w:rsidRPr="00FD5DB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2D554B" w:rsidRPr="00FD5DB1">
        <w:rPr>
          <w:rFonts w:ascii="Times New Roman" w:hAnsi="Times New Roman" w:cs="Times New Roman"/>
          <w:sz w:val="24"/>
          <w:szCs w:val="24"/>
        </w:rPr>
        <w:t xml:space="preserve">Tekne üzerindeki ölçümler en az iki kişilik ölçüm ekibi tarafından yapılır. </w:t>
      </w:r>
      <w:r w:rsidR="008D155A" w:rsidRPr="00FD5DB1">
        <w:rPr>
          <w:rFonts w:ascii="Times New Roman" w:hAnsi="Times New Roman" w:cs="Times New Roman"/>
          <w:sz w:val="24"/>
          <w:szCs w:val="24"/>
        </w:rPr>
        <w:t xml:space="preserve">Ölçüm için klas onaylı NOx emisyon ölçüm cihazı ve ölçüm için gerekli tüm malzeme ve ekipmanlar teknede hazır bulundurulur. </w:t>
      </w:r>
      <w:r w:rsidR="00EF5128" w:rsidRPr="00FD5DB1">
        <w:rPr>
          <w:rFonts w:ascii="Times New Roman" w:hAnsi="Times New Roman" w:cs="Times New Roman"/>
          <w:sz w:val="24"/>
          <w:szCs w:val="24"/>
        </w:rPr>
        <w:t>Tekne üzerinde ölçüm ekibi tarafından klas onaylı emisyon ölçüm cihazı ile NOx Teknik Kod’un öngördüğü şekilde</w:t>
      </w:r>
      <w:r w:rsidR="008D155A" w:rsidRPr="00FD5DB1">
        <w:rPr>
          <w:rFonts w:ascii="Times New Roman" w:hAnsi="Times New Roman" w:cs="Times New Roman"/>
          <w:sz w:val="24"/>
          <w:szCs w:val="24"/>
        </w:rPr>
        <w:t>, iş sağlığı ve güvenliği kurallarına uygun olarak</w:t>
      </w:r>
      <w:r w:rsidR="00EF5128" w:rsidRPr="00FD5DB1">
        <w:rPr>
          <w:rFonts w:ascii="Times New Roman" w:hAnsi="Times New Roman" w:cs="Times New Roman"/>
          <w:sz w:val="24"/>
          <w:szCs w:val="24"/>
        </w:rPr>
        <w:t xml:space="preserve"> ölçümler yapılır. Ölçümü yapılan makineye ait NOx Kod’da belirtilen değerler ile ölçüm cihazından alınan bilgiler kaydedilir. </w:t>
      </w:r>
    </w:p>
    <w:p w:rsidR="00EF5128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Ölçümün değerlendirilmesi</w:t>
      </w:r>
    </w:p>
    <w:p w:rsidR="00120D13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EF5128" w:rsidRPr="00FD5DB1">
        <w:rPr>
          <w:rFonts w:ascii="Times New Roman" w:hAnsi="Times New Roman" w:cs="Times New Roman"/>
          <w:sz w:val="24"/>
          <w:szCs w:val="24"/>
        </w:rPr>
        <w:t xml:space="preserve">Ölçüm sırasında kaydedilen makine değerleri ve ölçüm cihazından alınan emisyon değerleri, NOx Teknik Kod’un belirttiği hesaplama yöntemleri kullanılarak hesaplanır. </w:t>
      </w:r>
    </w:p>
    <w:p w:rsidR="00EF5128" w:rsidRPr="00FD5DB1" w:rsidRDefault="00120D13" w:rsidP="00FD5DB1">
      <w:pPr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F5128" w:rsidRPr="00FD5DB1">
        <w:rPr>
          <w:rFonts w:ascii="Times New Roman" w:hAnsi="Times New Roman" w:cs="Times New Roman"/>
          <w:sz w:val="24"/>
          <w:szCs w:val="24"/>
        </w:rPr>
        <w:t xml:space="preserve">Makine NOx emisyonu değeri, MARPOL Ek VI Kural 13’te belirtilen sınır değerler ile karşılaştırılır.  </w:t>
      </w:r>
    </w:p>
    <w:p w:rsidR="004234A6" w:rsidRPr="00FD5DB1" w:rsidRDefault="008C2436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Ölçümün sonucunun belgelendirilmesi</w:t>
      </w:r>
    </w:p>
    <w:p w:rsidR="00FD6778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4234A6" w:rsidRPr="00FD5DB1">
        <w:rPr>
          <w:rFonts w:ascii="Times New Roman" w:hAnsi="Times New Roman" w:cs="Times New Roman"/>
          <w:sz w:val="24"/>
          <w:szCs w:val="24"/>
        </w:rPr>
        <w:t xml:space="preserve">Ölçüm sonucuna göre </w:t>
      </w:r>
      <w:r w:rsidR="00A61292" w:rsidRPr="00FD5DB1">
        <w:rPr>
          <w:rFonts w:ascii="Times New Roman" w:hAnsi="Times New Roman" w:cs="Times New Roman"/>
          <w:sz w:val="24"/>
          <w:szCs w:val="24"/>
        </w:rPr>
        <w:t>yapılan değerlendirmeler NOx Emisyon Ölçüm Raporu düzenlenerek, ölçüm ekibi tarafından imzalanır ve</w:t>
      </w:r>
      <w:r w:rsidR="005310B0" w:rsidRPr="00FD5DB1">
        <w:rPr>
          <w:rFonts w:ascii="Times New Roman" w:hAnsi="Times New Roman" w:cs="Times New Roman"/>
          <w:sz w:val="24"/>
          <w:szCs w:val="24"/>
        </w:rPr>
        <w:t xml:space="preserve"> Fakülte</w:t>
      </w:r>
      <w:r w:rsidR="00A61292" w:rsidRPr="00FD5DB1">
        <w:rPr>
          <w:rFonts w:ascii="Times New Roman" w:hAnsi="Times New Roman" w:cs="Times New Roman"/>
          <w:sz w:val="24"/>
          <w:szCs w:val="24"/>
        </w:rPr>
        <w:t xml:space="preserve"> tarafından onaylanır. </w:t>
      </w:r>
    </w:p>
    <w:p w:rsidR="00EF5128" w:rsidRDefault="00FD6778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D5FC5" w:rsidRPr="00FD5DB1">
        <w:rPr>
          <w:rFonts w:ascii="Times New Roman" w:hAnsi="Times New Roman" w:cs="Times New Roman"/>
          <w:sz w:val="24"/>
          <w:szCs w:val="24"/>
        </w:rPr>
        <w:t>Onaylanan ölçüm raporu</w:t>
      </w:r>
      <w:r w:rsidR="00120D13">
        <w:rPr>
          <w:rFonts w:ascii="Times New Roman" w:hAnsi="Times New Roman" w:cs="Times New Roman"/>
          <w:sz w:val="24"/>
          <w:szCs w:val="24"/>
        </w:rPr>
        <w:t>,</w:t>
      </w:r>
      <w:r w:rsidR="004D5FC5" w:rsidRPr="00FD5DB1">
        <w:rPr>
          <w:rFonts w:ascii="Times New Roman" w:hAnsi="Times New Roman" w:cs="Times New Roman"/>
          <w:sz w:val="24"/>
          <w:szCs w:val="24"/>
        </w:rPr>
        <w:t xml:space="preserve"> teknenin bağlı bulunduğu liman başkanlığına gönderilir.</w:t>
      </w:r>
    </w:p>
    <w:p w:rsidR="00120D13" w:rsidRPr="00FD5DB1" w:rsidRDefault="00120D13" w:rsidP="00120D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FD5DB1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120D13" w:rsidRPr="00FD5DB1" w:rsidRDefault="00120D13" w:rsidP="0012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Hükümler</w:t>
      </w:r>
    </w:p>
    <w:p w:rsidR="004D5FC5" w:rsidRPr="00FD5DB1" w:rsidRDefault="004D5FC5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4D5FC5" w:rsidRPr="00FD5DB1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4D5FC5" w:rsidRPr="00FD5DB1">
        <w:rPr>
          <w:rFonts w:ascii="Times New Roman" w:hAnsi="Times New Roman" w:cs="Times New Roman"/>
          <w:sz w:val="24"/>
          <w:szCs w:val="24"/>
        </w:rPr>
        <w:t xml:space="preserve">Bu </w:t>
      </w:r>
      <w:r w:rsidR="00FD6778">
        <w:rPr>
          <w:rFonts w:ascii="Times New Roman" w:hAnsi="Times New Roman" w:cs="Times New Roman"/>
          <w:sz w:val="24"/>
          <w:szCs w:val="24"/>
        </w:rPr>
        <w:t>Y</w:t>
      </w:r>
      <w:r w:rsidR="004D5FC5" w:rsidRPr="00FD5DB1">
        <w:rPr>
          <w:rFonts w:ascii="Times New Roman" w:hAnsi="Times New Roman" w:cs="Times New Roman"/>
          <w:sz w:val="24"/>
          <w:szCs w:val="24"/>
        </w:rPr>
        <w:t xml:space="preserve">önerge, </w:t>
      </w:r>
      <w:r w:rsidR="0005254F">
        <w:rPr>
          <w:rFonts w:ascii="Times New Roman" w:hAnsi="Times New Roman" w:cs="Times New Roman"/>
          <w:sz w:val="24"/>
          <w:szCs w:val="24"/>
        </w:rPr>
        <w:t>Senato</w:t>
      </w:r>
      <w:r w:rsidR="004D5FC5" w:rsidRPr="00FD5DB1">
        <w:rPr>
          <w:rFonts w:ascii="Times New Roman" w:hAnsi="Times New Roman" w:cs="Times New Roman"/>
          <w:sz w:val="24"/>
          <w:szCs w:val="24"/>
        </w:rPr>
        <w:t xml:space="preserve"> tarafından kabul </w:t>
      </w:r>
      <w:r w:rsidR="00525C4B">
        <w:rPr>
          <w:rFonts w:ascii="Times New Roman" w:hAnsi="Times New Roman" w:cs="Times New Roman"/>
          <w:sz w:val="24"/>
          <w:szCs w:val="24"/>
        </w:rPr>
        <w:t xml:space="preserve">edildiği tarihte </w:t>
      </w:r>
      <w:r w:rsidR="004D5FC5" w:rsidRPr="00FD5DB1">
        <w:rPr>
          <w:rFonts w:ascii="Times New Roman" w:hAnsi="Times New Roman" w:cs="Times New Roman"/>
          <w:sz w:val="24"/>
          <w:szCs w:val="24"/>
        </w:rPr>
        <w:t>yürürlüğe girer.</w:t>
      </w:r>
    </w:p>
    <w:p w:rsidR="004D5FC5" w:rsidRPr="00FD5DB1" w:rsidRDefault="004D5FC5" w:rsidP="005E3A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1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4D5FC5" w:rsidRDefault="00FD5DB1" w:rsidP="00FD5D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DB1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5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5DB1">
        <w:rPr>
          <w:rFonts w:ascii="Times New Roman" w:hAnsi="Times New Roman" w:cs="Times New Roman"/>
          <w:sz w:val="24"/>
          <w:szCs w:val="24"/>
        </w:rPr>
        <w:t xml:space="preserve">(1) </w:t>
      </w:r>
      <w:r w:rsidR="004D5FC5" w:rsidRPr="00FD5DB1">
        <w:rPr>
          <w:rFonts w:ascii="Times New Roman" w:hAnsi="Times New Roman" w:cs="Times New Roman"/>
          <w:sz w:val="24"/>
          <w:szCs w:val="24"/>
        </w:rPr>
        <w:t xml:space="preserve">Bu </w:t>
      </w:r>
      <w:r w:rsidR="00FD6778">
        <w:rPr>
          <w:rFonts w:ascii="Times New Roman" w:hAnsi="Times New Roman" w:cs="Times New Roman"/>
          <w:sz w:val="24"/>
          <w:szCs w:val="24"/>
        </w:rPr>
        <w:t>Y</w:t>
      </w:r>
      <w:r w:rsidR="00053F0C">
        <w:rPr>
          <w:rFonts w:ascii="Times New Roman" w:hAnsi="Times New Roman" w:cs="Times New Roman"/>
          <w:sz w:val="24"/>
          <w:szCs w:val="24"/>
        </w:rPr>
        <w:t xml:space="preserve">önerge hükümlerini Denizcilik Fakültesi Dekanı </w:t>
      </w:r>
      <w:r w:rsidR="00053F0C" w:rsidRPr="00FD5DB1">
        <w:rPr>
          <w:rFonts w:ascii="Times New Roman" w:hAnsi="Times New Roman" w:cs="Times New Roman"/>
          <w:sz w:val="24"/>
          <w:szCs w:val="24"/>
        </w:rPr>
        <w:t>yürütür</w:t>
      </w:r>
      <w:r w:rsidR="004D5FC5" w:rsidRPr="00FD5DB1">
        <w:rPr>
          <w:rFonts w:ascii="Times New Roman" w:hAnsi="Times New Roman" w:cs="Times New Roman"/>
          <w:sz w:val="24"/>
          <w:szCs w:val="24"/>
        </w:rPr>
        <w:t>.</w:t>
      </w:r>
    </w:p>
    <w:p w:rsidR="009A136E" w:rsidRPr="009A136E" w:rsidRDefault="009A136E" w:rsidP="009A13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bookmarkStart w:id="0" w:name="_GoBack"/>
      <w:bookmarkEnd w:id="0"/>
    </w:p>
    <w:sectPr w:rsidR="009A136E" w:rsidRPr="009A136E" w:rsidSect="00120D13">
      <w:footerReference w:type="default" r:id="rId7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73" w:rsidRDefault="00372A73" w:rsidP="00120D13">
      <w:pPr>
        <w:spacing w:after="0" w:line="240" w:lineRule="auto"/>
      </w:pPr>
      <w:r>
        <w:separator/>
      </w:r>
    </w:p>
  </w:endnote>
  <w:endnote w:type="continuationSeparator" w:id="0">
    <w:p w:rsidR="00372A73" w:rsidRDefault="00372A73" w:rsidP="001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768191"/>
      <w:docPartObj>
        <w:docPartGallery w:val="Page Numbers (Bottom of Page)"/>
        <w:docPartUnique/>
      </w:docPartObj>
    </w:sdtPr>
    <w:sdtEndPr/>
    <w:sdtContent>
      <w:sdt>
        <w:sdtPr>
          <w:id w:val="-440228304"/>
          <w:docPartObj>
            <w:docPartGallery w:val="Page Numbers (Top of Page)"/>
            <w:docPartUnique/>
          </w:docPartObj>
        </w:sdtPr>
        <w:sdtEndPr/>
        <w:sdtContent>
          <w:p w:rsidR="00120D13" w:rsidRDefault="00120D13" w:rsidP="00120D1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A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A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D13" w:rsidRDefault="00120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73" w:rsidRDefault="00372A73" w:rsidP="00120D13">
      <w:pPr>
        <w:spacing w:after="0" w:line="240" w:lineRule="auto"/>
      </w:pPr>
      <w:r>
        <w:separator/>
      </w:r>
    </w:p>
  </w:footnote>
  <w:footnote w:type="continuationSeparator" w:id="0">
    <w:p w:rsidR="00372A73" w:rsidRDefault="00372A73" w:rsidP="0012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DB4"/>
    <w:multiLevelType w:val="hybridMultilevel"/>
    <w:tmpl w:val="22F6B11E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011332"/>
    <w:multiLevelType w:val="hybridMultilevel"/>
    <w:tmpl w:val="F3E42FBA"/>
    <w:lvl w:ilvl="0" w:tplc="3DB835F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A1"/>
    <w:rsid w:val="0005254F"/>
    <w:rsid w:val="00053F0C"/>
    <w:rsid w:val="0008590C"/>
    <w:rsid w:val="000C3037"/>
    <w:rsid w:val="001114E8"/>
    <w:rsid w:val="001205F5"/>
    <w:rsid w:val="00120D13"/>
    <w:rsid w:val="00287F78"/>
    <w:rsid w:val="00291B9B"/>
    <w:rsid w:val="002A3DC2"/>
    <w:rsid w:val="002D554B"/>
    <w:rsid w:val="00317D8B"/>
    <w:rsid w:val="00372A73"/>
    <w:rsid w:val="00376CED"/>
    <w:rsid w:val="004234A6"/>
    <w:rsid w:val="004814FF"/>
    <w:rsid w:val="004D5FC5"/>
    <w:rsid w:val="00525C4B"/>
    <w:rsid w:val="005310B0"/>
    <w:rsid w:val="005336F2"/>
    <w:rsid w:val="005E3A15"/>
    <w:rsid w:val="005F6F8F"/>
    <w:rsid w:val="00775058"/>
    <w:rsid w:val="00791706"/>
    <w:rsid w:val="007F7715"/>
    <w:rsid w:val="008628A1"/>
    <w:rsid w:val="008C2436"/>
    <w:rsid w:val="008D155A"/>
    <w:rsid w:val="009A136E"/>
    <w:rsid w:val="00A61292"/>
    <w:rsid w:val="00AD4AAC"/>
    <w:rsid w:val="00AE461C"/>
    <w:rsid w:val="00B46579"/>
    <w:rsid w:val="00BB3641"/>
    <w:rsid w:val="00BE46AE"/>
    <w:rsid w:val="00C13693"/>
    <w:rsid w:val="00C4502B"/>
    <w:rsid w:val="00C45998"/>
    <w:rsid w:val="00C94571"/>
    <w:rsid w:val="00CC10BA"/>
    <w:rsid w:val="00CD6F5A"/>
    <w:rsid w:val="00CE1646"/>
    <w:rsid w:val="00D15017"/>
    <w:rsid w:val="00D54F85"/>
    <w:rsid w:val="00DB1772"/>
    <w:rsid w:val="00E107A2"/>
    <w:rsid w:val="00EF5128"/>
    <w:rsid w:val="00FD5DB1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AA4"/>
  <w15:chartTrackingRefBased/>
  <w15:docId w15:val="{C06071EC-AF8F-4D5D-A556-883FDD0E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1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D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0D13"/>
  </w:style>
  <w:style w:type="paragraph" w:styleId="AltBilgi">
    <w:name w:val="footer"/>
    <w:basedOn w:val="Normal"/>
    <w:link w:val="AltBilgiChar"/>
    <w:uiPriority w:val="99"/>
    <w:unhideWhenUsed/>
    <w:rsid w:val="0012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NEZAHAT SAVAŞ</cp:lastModifiedBy>
  <cp:revision>3</cp:revision>
  <cp:lastPrinted>2018-05-09T12:13:00Z</cp:lastPrinted>
  <dcterms:created xsi:type="dcterms:W3CDTF">2018-07-04T08:04:00Z</dcterms:created>
  <dcterms:modified xsi:type="dcterms:W3CDTF">2018-07-13T14:26:00Z</dcterms:modified>
</cp:coreProperties>
</file>